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AF9" w:rsidRPr="000D71EF" w:rsidRDefault="00431AF9" w:rsidP="00431AF9">
      <w:pPr>
        <w:ind w:right="-648"/>
        <w:rPr>
          <w:b/>
          <w:bCs/>
          <w:sz w:val="32"/>
          <w:szCs w:val="32"/>
          <w:lang w:eastAsia="en-US"/>
        </w:rPr>
      </w:pPr>
      <w:r w:rsidRPr="000D71EF">
        <w:rPr>
          <w:b/>
          <w:bCs/>
          <w:sz w:val="32"/>
          <w:szCs w:val="32"/>
          <w:lang w:eastAsia="en-US"/>
        </w:rPr>
        <w:t xml:space="preserve">Zoznam </w:t>
      </w:r>
      <w:proofErr w:type="spellStart"/>
      <w:r w:rsidRPr="000D71EF">
        <w:rPr>
          <w:b/>
          <w:bCs/>
          <w:sz w:val="32"/>
          <w:szCs w:val="32"/>
          <w:lang w:eastAsia="en-US"/>
        </w:rPr>
        <w:t>infomačných</w:t>
      </w:r>
      <w:proofErr w:type="spellEnd"/>
      <w:r w:rsidRPr="000D71EF">
        <w:rPr>
          <w:b/>
          <w:bCs/>
          <w:sz w:val="32"/>
          <w:szCs w:val="32"/>
          <w:lang w:eastAsia="en-US"/>
        </w:rPr>
        <w:t xml:space="preserve"> listov predmetov</w:t>
      </w:r>
    </w:p>
    <w:p w:rsidR="00431AF9" w:rsidRPr="000D71EF" w:rsidRDefault="00431AF9" w:rsidP="00431AF9">
      <w:pPr>
        <w:rPr>
          <w:b/>
          <w:bCs/>
          <w:sz w:val="32"/>
          <w:szCs w:val="32"/>
          <w:lang w:eastAsia="en-US"/>
        </w:rPr>
      </w:pPr>
      <w:proofErr w:type="spellStart"/>
      <w:r w:rsidRPr="000D71EF">
        <w:rPr>
          <w:b/>
          <w:bCs/>
          <w:sz w:val="32"/>
          <w:szCs w:val="32"/>
          <w:lang w:eastAsia="en-US"/>
        </w:rPr>
        <w:t>PP_Mgr</w:t>
      </w:r>
      <w:proofErr w:type="spellEnd"/>
      <w:r w:rsidRPr="000D71EF">
        <w:rPr>
          <w:b/>
          <w:bCs/>
          <w:sz w:val="32"/>
          <w:szCs w:val="32"/>
          <w:lang w:eastAsia="en-US"/>
        </w:rPr>
        <w:t>.:</w:t>
      </w:r>
    </w:p>
    <w:p w:rsidR="00431AF9" w:rsidRPr="000D71EF" w:rsidRDefault="00431AF9" w:rsidP="00431AF9">
      <w:pPr>
        <w:rPr>
          <w:sz w:val="32"/>
          <w:szCs w:val="32"/>
          <w:lang w:eastAsia="en-US"/>
        </w:rPr>
      </w:pPr>
      <w:r w:rsidRPr="000D71EF">
        <w:rPr>
          <w:sz w:val="32"/>
          <w:szCs w:val="32"/>
          <w:lang w:eastAsia="en-US"/>
        </w:rPr>
        <w:t>Medzinárodné právo verejné 1</w:t>
      </w:r>
    </w:p>
    <w:p w:rsidR="00431AF9" w:rsidRPr="000D71EF" w:rsidRDefault="00431AF9" w:rsidP="00431AF9">
      <w:pPr>
        <w:rPr>
          <w:sz w:val="32"/>
          <w:szCs w:val="32"/>
          <w:lang w:eastAsia="en-US"/>
        </w:rPr>
      </w:pPr>
      <w:r w:rsidRPr="000D71EF">
        <w:rPr>
          <w:sz w:val="32"/>
          <w:szCs w:val="32"/>
          <w:lang w:eastAsia="en-US"/>
        </w:rPr>
        <w:t>Európske právo 1</w:t>
      </w:r>
    </w:p>
    <w:p w:rsidR="00431AF9" w:rsidRPr="000D71EF" w:rsidRDefault="00431AF9" w:rsidP="00431AF9">
      <w:pPr>
        <w:rPr>
          <w:sz w:val="32"/>
          <w:szCs w:val="32"/>
          <w:lang w:eastAsia="en-US"/>
        </w:rPr>
      </w:pPr>
      <w:r w:rsidRPr="000D71EF">
        <w:rPr>
          <w:sz w:val="32"/>
          <w:szCs w:val="32"/>
          <w:lang w:eastAsia="en-US"/>
        </w:rPr>
        <w:t>Medzinárodné právo súkromné 1</w:t>
      </w:r>
    </w:p>
    <w:p w:rsidR="00431AF9" w:rsidRPr="000D71EF" w:rsidRDefault="00431AF9" w:rsidP="00431AF9">
      <w:pPr>
        <w:rPr>
          <w:sz w:val="32"/>
          <w:szCs w:val="32"/>
          <w:lang w:eastAsia="en-US"/>
        </w:rPr>
      </w:pPr>
      <w:r w:rsidRPr="000D71EF">
        <w:rPr>
          <w:sz w:val="32"/>
          <w:szCs w:val="32"/>
          <w:lang w:eastAsia="en-US"/>
        </w:rPr>
        <w:t>Interpretácia a argumentácia v právnej praxi</w:t>
      </w:r>
    </w:p>
    <w:p w:rsidR="00431AF9" w:rsidRPr="000D71EF" w:rsidRDefault="00431AF9" w:rsidP="00431AF9">
      <w:pPr>
        <w:rPr>
          <w:sz w:val="32"/>
          <w:szCs w:val="32"/>
          <w:lang w:eastAsia="en-US"/>
        </w:rPr>
      </w:pPr>
      <w:r w:rsidRPr="000D71EF">
        <w:rPr>
          <w:sz w:val="32"/>
          <w:szCs w:val="32"/>
          <w:lang w:eastAsia="en-US"/>
        </w:rPr>
        <w:t>Ľudské práva</w:t>
      </w:r>
    </w:p>
    <w:p w:rsidR="00431AF9" w:rsidRPr="000D71EF" w:rsidRDefault="00431AF9" w:rsidP="00431AF9">
      <w:pPr>
        <w:rPr>
          <w:sz w:val="32"/>
          <w:szCs w:val="32"/>
          <w:lang w:eastAsia="en-US"/>
        </w:rPr>
      </w:pPr>
      <w:r w:rsidRPr="000D71EF">
        <w:rPr>
          <w:sz w:val="32"/>
          <w:szCs w:val="32"/>
          <w:lang w:eastAsia="en-US"/>
        </w:rPr>
        <w:t xml:space="preserve">Medzinárodné a európske </w:t>
      </w:r>
      <w:r w:rsidR="002D1E5E" w:rsidRPr="000D71EF">
        <w:rPr>
          <w:sz w:val="32"/>
          <w:szCs w:val="32"/>
          <w:lang w:eastAsia="en-US"/>
        </w:rPr>
        <w:t>pracovné</w:t>
      </w:r>
      <w:r w:rsidRPr="000D71EF">
        <w:rPr>
          <w:sz w:val="32"/>
          <w:szCs w:val="32"/>
          <w:lang w:eastAsia="en-US"/>
        </w:rPr>
        <w:t xml:space="preserve"> právo</w:t>
      </w:r>
      <w:r w:rsidR="002D1E5E" w:rsidRPr="000D71EF">
        <w:rPr>
          <w:sz w:val="32"/>
          <w:szCs w:val="32"/>
          <w:lang w:eastAsia="en-US"/>
        </w:rPr>
        <w:t xml:space="preserve"> a právo sociálneho zabezpečenia</w:t>
      </w:r>
    </w:p>
    <w:p w:rsidR="00431AF9" w:rsidRPr="000D71EF" w:rsidRDefault="00431AF9" w:rsidP="00431AF9">
      <w:pPr>
        <w:rPr>
          <w:sz w:val="32"/>
          <w:szCs w:val="32"/>
          <w:lang w:eastAsia="en-US"/>
        </w:rPr>
      </w:pPr>
      <w:r w:rsidRPr="000D71EF">
        <w:rPr>
          <w:sz w:val="32"/>
          <w:szCs w:val="32"/>
          <w:lang w:eastAsia="en-US"/>
        </w:rPr>
        <w:t>Medzinárodné právo verejné 2</w:t>
      </w:r>
    </w:p>
    <w:p w:rsidR="00431AF9" w:rsidRPr="000D71EF" w:rsidRDefault="00431AF9" w:rsidP="00431AF9">
      <w:pPr>
        <w:rPr>
          <w:sz w:val="32"/>
          <w:szCs w:val="32"/>
          <w:lang w:eastAsia="en-US"/>
        </w:rPr>
      </w:pPr>
      <w:r w:rsidRPr="000D71EF">
        <w:rPr>
          <w:sz w:val="32"/>
          <w:szCs w:val="32"/>
          <w:lang w:eastAsia="en-US"/>
        </w:rPr>
        <w:t>Európske právo 2</w:t>
      </w:r>
    </w:p>
    <w:p w:rsidR="00431AF9" w:rsidRPr="000D71EF" w:rsidRDefault="00431AF9" w:rsidP="00431AF9">
      <w:pPr>
        <w:rPr>
          <w:sz w:val="32"/>
          <w:szCs w:val="32"/>
          <w:lang w:eastAsia="en-US"/>
        </w:rPr>
      </w:pPr>
      <w:r w:rsidRPr="000D71EF">
        <w:rPr>
          <w:sz w:val="32"/>
          <w:szCs w:val="32"/>
          <w:lang w:eastAsia="en-US"/>
        </w:rPr>
        <w:t>Medzinárodné právo súkromné 2</w:t>
      </w:r>
    </w:p>
    <w:p w:rsidR="00431AF9" w:rsidRPr="000D71EF" w:rsidRDefault="007D79C6" w:rsidP="00431AF9">
      <w:pPr>
        <w:rPr>
          <w:sz w:val="32"/>
          <w:szCs w:val="32"/>
          <w:lang w:eastAsia="en-US"/>
        </w:rPr>
      </w:pPr>
      <w:r w:rsidRPr="000D71EF">
        <w:rPr>
          <w:sz w:val="32"/>
          <w:szCs w:val="32"/>
          <w:lang w:eastAsia="en-US"/>
        </w:rPr>
        <w:t>Európske s</w:t>
      </w:r>
      <w:r w:rsidR="00431AF9" w:rsidRPr="000D71EF">
        <w:rPr>
          <w:sz w:val="32"/>
          <w:szCs w:val="32"/>
          <w:lang w:eastAsia="en-US"/>
        </w:rPr>
        <w:t>úťažné právo a štátna pomoc</w:t>
      </w:r>
    </w:p>
    <w:p w:rsidR="00D84E95" w:rsidRPr="000D71EF" w:rsidRDefault="00D84E95" w:rsidP="00431AF9">
      <w:pPr>
        <w:rPr>
          <w:sz w:val="32"/>
          <w:szCs w:val="32"/>
          <w:lang w:eastAsia="en-US"/>
        </w:rPr>
      </w:pPr>
      <w:r w:rsidRPr="000D71EF">
        <w:rPr>
          <w:sz w:val="32"/>
          <w:szCs w:val="32"/>
          <w:lang w:eastAsia="en-US"/>
        </w:rPr>
        <w:t>Právna etika</w:t>
      </w:r>
    </w:p>
    <w:p w:rsidR="00431AF9" w:rsidRPr="000D71EF" w:rsidRDefault="00431AF9" w:rsidP="00431AF9">
      <w:pPr>
        <w:rPr>
          <w:iCs/>
          <w:sz w:val="32"/>
          <w:szCs w:val="32"/>
          <w:lang w:eastAsia="en-US"/>
        </w:rPr>
      </w:pPr>
      <w:r w:rsidRPr="000D71EF">
        <w:rPr>
          <w:iCs/>
          <w:sz w:val="32"/>
          <w:szCs w:val="32"/>
          <w:lang w:eastAsia="en-US"/>
        </w:rPr>
        <w:t>Diplomová práca a obhajoba diplomovej práce</w:t>
      </w:r>
    </w:p>
    <w:p w:rsidR="00431AF9" w:rsidRPr="000D71EF" w:rsidRDefault="00431AF9" w:rsidP="00431AF9">
      <w:pPr>
        <w:rPr>
          <w:iCs/>
          <w:sz w:val="32"/>
          <w:szCs w:val="32"/>
          <w:lang w:eastAsia="en-US"/>
        </w:rPr>
      </w:pPr>
      <w:r w:rsidRPr="000D71EF">
        <w:rPr>
          <w:iCs/>
          <w:sz w:val="32"/>
          <w:szCs w:val="32"/>
          <w:lang w:eastAsia="en-US"/>
        </w:rPr>
        <w:t xml:space="preserve">Štátna skúška </w:t>
      </w:r>
      <w:r w:rsidR="004F0073" w:rsidRPr="000D71EF">
        <w:rPr>
          <w:iCs/>
          <w:sz w:val="32"/>
          <w:szCs w:val="32"/>
          <w:lang w:eastAsia="en-US"/>
        </w:rPr>
        <w:t>– súkromnoprávna oblasť</w:t>
      </w:r>
    </w:p>
    <w:p w:rsidR="00431AF9" w:rsidRPr="000D71EF" w:rsidRDefault="00431AF9" w:rsidP="00431AF9">
      <w:pPr>
        <w:rPr>
          <w:sz w:val="32"/>
          <w:szCs w:val="32"/>
          <w:lang w:eastAsia="en-US"/>
        </w:rPr>
      </w:pPr>
      <w:r w:rsidRPr="000D71EF">
        <w:rPr>
          <w:iCs/>
          <w:sz w:val="32"/>
          <w:szCs w:val="32"/>
          <w:lang w:eastAsia="en-US"/>
        </w:rPr>
        <w:t xml:space="preserve">Štátna skúška </w:t>
      </w:r>
      <w:r w:rsidR="004F0073" w:rsidRPr="000D71EF">
        <w:rPr>
          <w:iCs/>
          <w:sz w:val="32"/>
          <w:szCs w:val="32"/>
          <w:lang w:eastAsia="en-US"/>
        </w:rPr>
        <w:t>– verejnoprávna oblasť</w:t>
      </w:r>
    </w:p>
    <w:p w:rsidR="00431AF9" w:rsidRPr="000D71EF" w:rsidRDefault="00431AF9" w:rsidP="00DE4B85">
      <w:pPr>
        <w:ind w:left="720"/>
        <w:jc w:val="right"/>
        <w:rPr>
          <w:b/>
          <w:bCs/>
        </w:rPr>
      </w:pPr>
    </w:p>
    <w:p w:rsidR="00431AF9" w:rsidRPr="000D71EF" w:rsidRDefault="00431AF9" w:rsidP="00DE4B85">
      <w:pPr>
        <w:ind w:left="720"/>
        <w:jc w:val="right"/>
        <w:rPr>
          <w:b/>
          <w:bCs/>
        </w:rPr>
      </w:pPr>
    </w:p>
    <w:p w:rsidR="00431AF9" w:rsidRPr="000D71EF" w:rsidRDefault="00431AF9" w:rsidP="00DE4B85">
      <w:pPr>
        <w:ind w:left="720"/>
        <w:jc w:val="right"/>
        <w:rPr>
          <w:b/>
          <w:bCs/>
        </w:rPr>
      </w:pPr>
    </w:p>
    <w:p w:rsidR="00431AF9" w:rsidRPr="000D71EF" w:rsidRDefault="00431AF9" w:rsidP="00DE4B85">
      <w:pPr>
        <w:ind w:left="720"/>
        <w:jc w:val="right"/>
        <w:rPr>
          <w:b/>
          <w:bCs/>
        </w:rPr>
      </w:pPr>
    </w:p>
    <w:p w:rsidR="00431AF9" w:rsidRPr="000D71EF" w:rsidRDefault="00431AF9" w:rsidP="006E4AB1">
      <w:pPr>
        <w:rPr>
          <w:b/>
          <w:bCs/>
        </w:rPr>
      </w:pPr>
    </w:p>
    <w:p w:rsidR="006E4AB1" w:rsidRPr="000D71EF" w:rsidRDefault="006E4AB1" w:rsidP="006E4AB1">
      <w:pPr>
        <w:rPr>
          <w:b/>
          <w:bCs/>
        </w:rPr>
      </w:pPr>
    </w:p>
    <w:p w:rsidR="008358D1" w:rsidRPr="000D71EF" w:rsidRDefault="008358D1" w:rsidP="00DE4B85">
      <w:pPr>
        <w:ind w:left="720"/>
        <w:jc w:val="right"/>
        <w:rPr>
          <w:bCs/>
        </w:rPr>
      </w:pPr>
    </w:p>
    <w:p w:rsidR="00DE4B85" w:rsidRPr="000D71EF" w:rsidRDefault="00DE4B85" w:rsidP="00DE4B85">
      <w:pPr>
        <w:ind w:left="720"/>
        <w:jc w:val="right"/>
        <w:rPr>
          <w:bCs/>
        </w:rPr>
      </w:pPr>
      <w:r w:rsidRPr="000D71EF">
        <w:rPr>
          <w:bCs/>
        </w:rPr>
        <w:lastRenderedPageBreak/>
        <w:t>Informačný list predmetu</w:t>
      </w: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Vysoká škola:</w:t>
            </w:r>
            <w:r w:rsidRPr="000D71EF">
              <w:t xml:space="preserve"> Univerzita Komenského v Bratislave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Fakulta:</w:t>
            </w:r>
            <w:r w:rsidRPr="000D71EF">
              <w:t xml:space="preserve"> Právnická fakulta</w:t>
            </w:r>
          </w:p>
        </w:tc>
      </w:tr>
      <w:tr w:rsidR="00DE4B85" w:rsidRPr="000D71EF" w:rsidTr="00AA69D4">
        <w:tc>
          <w:tcPr>
            <w:tcW w:w="4110" w:type="dxa"/>
          </w:tcPr>
          <w:p w:rsidR="00DE4B85" w:rsidRPr="000D71EF" w:rsidRDefault="00DE4B85" w:rsidP="00AA69D4">
            <w:r w:rsidRPr="000D71EF">
              <w:rPr>
                <w:b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5212" w:type="dxa"/>
          </w:tcPr>
          <w:p w:rsidR="00DE4B85" w:rsidRPr="000D71EF" w:rsidRDefault="00DE4B85" w:rsidP="0015348F">
            <w:pPr>
              <w:rPr>
                <w:b/>
              </w:rPr>
            </w:pPr>
            <w:r w:rsidRPr="000D71EF">
              <w:rPr>
                <w:b/>
              </w:rPr>
              <w:t xml:space="preserve">Názov predmetu: </w:t>
            </w:r>
            <w:r w:rsidRPr="000D71EF">
              <w:rPr>
                <w:i/>
              </w:rPr>
              <w:t xml:space="preserve">Medzinárodné právo verejné </w:t>
            </w:r>
            <w:r w:rsidR="0015348F" w:rsidRPr="000D71EF">
              <w:rPr>
                <w:i/>
              </w:rPr>
              <w:t>1</w:t>
            </w:r>
          </w:p>
        </w:tc>
      </w:tr>
      <w:tr w:rsidR="00DE4B85" w:rsidRPr="000D71EF" w:rsidTr="00AA69D4">
        <w:trPr>
          <w:trHeight w:val="1110"/>
        </w:trPr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Druh, rozsah a metóda vzdelávacích činností:</w:t>
            </w:r>
            <w:r w:rsidRPr="000D71EF">
              <w:t xml:space="preserve"> </w:t>
            </w:r>
          </w:p>
          <w:p w:rsidR="00DE4B85" w:rsidRPr="000D71EF" w:rsidRDefault="00DE4B85" w:rsidP="00DE4B85">
            <w:pPr>
              <w:widowControl w:val="0"/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iCs/>
              </w:rPr>
              <w:t>Denná forma štúdia: 1 hodina prednášok a 2 hodiny seminárov týždenne, spolu 42 hodí</w:t>
            </w:r>
            <w:r w:rsidR="006F0472" w:rsidRPr="000D71EF">
              <w:rPr>
                <w:iCs/>
              </w:rPr>
              <w:t>n za semester, prezenčná metóda</w:t>
            </w:r>
          </w:p>
        </w:tc>
      </w:tr>
      <w:tr w:rsidR="00DE4B85" w:rsidRPr="000D71EF" w:rsidTr="00AA69D4">
        <w:trPr>
          <w:trHeight w:val="286"/>
        </w:trPr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 xml:space="preserve">Počet kreditov: </w:t>
            </w:r>
            <w:r w:rsidRPr="000D71EF">
              <w:t>5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rPr>
                <w:iCs/>
              </w:rPr>
            </w:pPr>
            <w:r w:rsidRPr="000D71EF">
              <w:rPr>
                <w:b/>
              </w:rPr>
              <w:t>Odporúčaný semester štúdia:</w:t>
            </w:r>
            <w:r w:rsidRPr="000D71EF">
              <w:t xml:space="preserve"> </w:t>
            </w:r>
            <w:r w:rsidRPr="000D71EF">
              <w:rPr>
                <w:iCs/>
              </w:rPr>
              <w:t>1</w:t>
            </w:r>
            <w:r w:rsidR="00B05ED9" w:rsidRPr="000D71EF">
              <w:rPr>
                <w:iCs/>
              </w:rPr>
              <w:t>. semester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rPr>
                <w:iCs/>
              </w:rPr>
            </w:pPr>
            <w:r w:rsidRPr="000D71EF">
              <w:rPr>
                <w:b/>
              </w:rPr>
              <w:t>Stupeň štúdia:</w:t>
            </w:r>
            <w:r w:rsidRPr="000D71EF">
              <w:t xml:space="preserve"> </w:t>
            </w:r>
            <w:r w:rsidRPr="000D71EF">
              <w:rPr>
                <w:iCs/>
              </w:rPr>
              <w:t>2.</w:t>
            </w:r>
            <w:r w:rsidR="0015348F" w:rsidRPr="000D71EF">
              <w:rPr>
                <w:iCs/>
              </w:rPr>
              <w:t xml:space="preserve"> stupeň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Podmieňujúce predmety: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Podmienky na absolvovanie predmetu:</w:t>
            </w:r>
            <w:r w:rsidRPr="000D71EF">
              <w:t xml:space="preserve"> </w:t>
            </w:r>
          </w:p>
          <w:p w:rsidR="00DE4B85" w:rsidRPr="000D71EF" w:rsidRDefault="00DE4B85" w:rsidP="00AA69D4">
            <w:pPr>
              <w:jc w:val="both"/>
            </w:pPr>
            <w:r w:rsidRPr="000D71EF">
              <w:t>Priebežné hodnotenie: 40 % (je založené na aktívnej účasti, t.j. účasti na diskusiách a riešeniach príkladov počas prednášok a seminárov, v rozsahu 10 %, a na dvoch písomných zadaniach ( 15 %)</w:t>
            </w:r>
          </w:p>
          <w:p w:rsidR="00DE4B85" w:rsidRPr="000D71EF" w:rsidRDefault="00DE4B85" w:rsidP="00AA69D4">
            <w:pPr>
              <w:jc w:val="both"/>
            </w:pPr>
            <w:r w:rsidRPr="000D71EF">
              <w:t xml:space="preserve">Záverečné hodnotenie: 60% </w:t>
            </w:r>
          </w:p>
          <w:p w:rsidR="006F0472" w:rsidRPr="000D71EF" w:rsidRDefault="006F0472" w:rsidP="00AA69D4">
            <w:pPr>
              <w:jc w:val="both"/>
            </w:pPr>
            <w:r w:rsidRPr="000D71EF">
              <w:t>Klasifikačná stupnica: A/1 = 91 –</w:t>
            </w:r>
            <w:bookmarkStart w:id="0" w:name="_GoBack"/>
            <w:bookmarkEnd w:id="0"/>
            <w:r w:rsidRPr="000D71EF">
              <w:t xml:space="preserve"> 100 %; B/1,5 = 81 – 90 %; C/2 = 73 – 80 %; D/2,5 = 66 – 72 %; E/3 = 61 – 65 %; FX = 0 – 60 %.  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jc w:val="both"/>
            </w:pPr>
            <w:r w:rsidRPr="000D71EF">
              <w:rPr>
                <w:b/>
              </w:rPr>
              <w:t>Výsledky vzdelávania:</w:t>
            </w:r>
            <w:r w:rsidRPr="000D71EF">
              <w:t xml:space="preserve"> Cieľom predmetu je priblížiť študentom základné inštitúty a princípy medzinárodného práva verejného ako aj jeho interakciu s vnútroštátnym právom na jednej strane a medzinárodnou integráciou na strane druhej. 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spacing w:line="23" w:lineRule="atLeast"/>
              <w:jc w:val="both"/>
            </w:pPr>
            <w:r w:rsidRPr="000D71EF">
              <w:rPr>
                <w:b/>
              </w:rPr>
              <w:t>Stručná osnova predmetu:</w:t>
            </w:r>
            <w:r w:rsidRPr="000D71EF">
              <w:t xml:space="preserve"> 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>Úvod do medzinárodného práva, historický vývoj, základné pojmy a OSN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>Vzťah medzinárodného práva a vnútroštátneho práva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>Pramene medzinárodného práva (druhy, vznik, kodifikácia)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>Pramene medzinárodného práva II: vzájomný vzťah, hierarchia a aplikačné problémy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>Pravidlá a zásady medzinárodného práva. Kodifikácia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>Štát ako subjekt medzinárodného práva (suverenita, jurisdikcia, sukcesia, uznanie)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>Ďalšie subjekty medzinárodného práva: národy a povstalecké hnutia, medzinárodné organizácie, neštátni aktéri, jednotlivci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>Riešenie sporov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>Medzinárodná zodpovednosť I (vznik, druhy, obsah, následky)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>Medzinárodná zodpovednosť II (dovolávanie sa zodpovednosti, štátna príslušnosť nárokov – diplomatická ochrana)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 xml:space="preserve">Donútenie v medzinárodnom práve 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r w:rsidRPr="000D71EF">
              <w:t>Použitie sily v medzinárodnom práve. Sebaobrana</w:t>
            </w:r>
          </w:p>
          <w:p w:rsidR="00DE4B85" w:rsidRPr="000D71EF" w:rsidRDefault="00DE4B85" w:rsidP="00671CF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proofErr w:type="spellStart"/>
            <w:r w:rsidRPr="000D71EF">
              <w:t>Repetitórium</w:t>
            </w:r>
            <w:proofErr w:type="spellEnd"/>
            <w:r w:rsidRPr="000D71EF">
              <w:t xml:space="preserve"> </w:t>
            </w:r>
          </w:p>
          <w:p w:rsidR="00DE4B85" w:rsidRPr="000D71EF" w:rsidRDefault="00DE4B85" w:rsidP="006F0472">
            <w:pPr>
              <w:numPr>
                <w:ilvl w:val="0"/>
                <w:numId w:val="2"/>
              </w:numPr>
              <w:spacing w:line="23" w:lineRule="atLeast"/>
              <w:ind w:left="425" w:hanging="425"/>
              <w:jc w:val="both"/>
            </w:pPr>
            <w:proofErr w:type="spellStart"/>
            <w:r w:rsidRPr="000D71EF">
              <w:t>Evaluácia</w:t>
            </w:r>
            <w:proofErr w:type="spellEnd"/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rPr>
                <w:b/>
              </w:rPr>
            </w:pPr>
            <w:r w:rsidRPr="000D71EF">
              <w:rPr>
                <w:b/>
              </w:rPr>
              <w:t>Odporúčaná literatúra:</w:t>
            </w:r>
          </w:p>
          <w:p w:rsidR="00DE4B85" w:rsidRPr="000D71EF" w:rsidRDefault="00DE4B85" w:rsidP="00AA69D4">
            <w:proofErr w:type="spellStart"/>
            <w:r w:rsidRPr="000D71EF">
              <w:t>Malcolm</w:t>
            </w:r>
            <w:proofErr w:type="spellEnd"/>
            <w:r w:rsidRPr="000D71EF">
              <w:t xml:space="preserve"> N. </w:t>
            </w:r>
            <w:proofErr w:type="spellStart"/>
            <w:r w:rsidRPr="000D71EF">
              <w:t>Shaw</w:t>
            </w:r>
            <w:proofErr w:type="spellEnd"/>
            <w:r w:rsidRPr="000D71EF">
              <w:t xml:space="preserve">.: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6 </w:t>
            </w:r>
            <w:proofErr w:type="spellStart"/>
            <w:r w:rsidRPr="000D71EF">
              <w:t>th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.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2008</w:t>
            </w:r>
          </w:p>
          <w:p w:rsidR="00DE4B85" w:rsidRPr="000D71EF" w:rsidRDefault="00DE4B85" w:rsidP="00AA69D4">
            <w:proofErr w:type="spellStart"/>
            <w:r w:rsidRPr="000D71EF">
              <w:t>Malcolm</w:t>
            </w:r>
            <w:proofErr w:type="spellEnd"/>
            <w:r w:rsidRPr="000D71EF">
              <w:t xml:space="preserve"> D. </w:t>
            </w:r>
            <w:proofErr w:type="spellStart"/>
            <w:r w:rsidRPr="000D71EF">
              <w:t>Evans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3 </w:t>
            </w:r>
            <w:proofErr w:type="spellStart"/>
            <w:r w:rsidRPr="000D71EF">
              <w:t>th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New York, 2010</w:t>
            </w:r>
          </w:p>
          <w:p w:rsidR="00DE4B85" w:rsidRPr="000D71EF" w:rsidRDefault="00DE4B85" w:rsidP="00AA69D4">
            <w:proofErr w:type="spellStart"/>
            <w:r w:rsidRPr="000D71EF">
              <w:t>Ian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Brownlie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principles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Public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7th </w:t>
            </w:r>
            <w:proofErr w:type="spellStart"/>
            <w:r w:rsidRPr="000D71EF">
              <w:t>ed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2008</w:t>
            </w:r>
          </w:p>
          <w:p w:rsidR="00DE4B85" w:rsidRPr="000D71EF" w:rsidRDefault="00DE4B85" w:rsidP="00AA69D4">
            <w:proofErr w:type="spellStart"/>
            <w:r w:rsidRPr="000D71EF">
              <w:t>Antonio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Cassesse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2nd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2005</w:t>
            </w:r>
          </w:p>
          <w:p w:rsidR="00DE4B85" w:rsidRPr="000D71EF" w:rsidRDefault="00DE4B85" w:rsidP="00AA69D4">
            <w:proofErr w:type="spellStart"/>
            <w:r w:rsidRPr="000D71EF">
              <w:t>David</w:t>
            </w:r>
            <w:proofErr w:type="spellEnd"/>
            <w:r w:rsidRPr="000D71EF">
              <w:t xml:space="preserve"> J. </w:t>
            </w:r>
            <w:proofErr w:type="spellStart"/>
            <w:r w:rsidRPr="000D71EF">
              <w:t>harris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Cases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Materials</w:t>
            </w:r>
            <w:proofErr w:type="spellEnd"/>
            <w:r w:rsidRPr="000D71EF">
              <w:t xml:space="preserve"> on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7th </w:t>
            </w:r>
            <w:proofErr w:type="spellStart"/>
            <w:r w:rsidRPr="000D71EF">
              <w:t>ed</w:t>
            </w:r>
            <w:proofErr w:type="spellEnd"/>
            <w:r w:rsidRPr="000D71EF">
              <w:t xml:space="preserve">., </w:t>
            </w:r>
            <w:proofErr w:type="spellStart"/>
            <w:r w:rsidRPr="000D71EF">
              <w:t>Sweet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Maxwell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London</w:t>
            </w:r>
            <w:proofErr w:type="spellEnd"/>
            <w:r w:rsidRPr="000D71EF">
              <w:t xml:space="preserve">, 2010 </w:t>
            </w:r>
          </w:p>
          <w:p w:rsidR="00DE4B85" w:rsidRPr="000D71EF" w:rsidRDefault="00DE4B85" w:rsidP="00AA69D4">
            <w:pPr>
              <w:jc w:val="both"/>
            </w:pPr>
            <w:proofErr w:type="spellStart"/>
            <w:r w:rsidRPr="000D71EF">
              <w:t>Public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I (2013/2014) </w:t>
            </w:r>
            <w:proofErr w:type="spellStart"/>
            <w:r w:rsidRPr="000D71EF">
              <w:t>Reader</w:t>
            </w:r>
            <w:proofErr w:type="spellEnd"/>
            <w:r w:rsidRPr="000D71EF">
              <w:t xml:space="preserve"> </w:t>
            </w:r>
          </w:p>
          <w:p w:rsidR="00DE4B85" w:rsidRPr="000D71EF" w:rsidRDefault="00DE4B85" w:rsidP="00AA69D4">
            <w:pPr>
              <w:jc w:val="both"/>
            </w:pPr>
            <w:r w:rsidRPr="000D71EF">
              <w:t xml:space="preserve">Medzinárodné dokumenty, rozhodnutia a iné </w:t>
            </w:r>
          </w:p>
          <w:p w:rsidR="00DE4B85" w:rsidRPr="000D71EF" w:rsidRDefault="007B51A5" w:rsidP="00AA69D4">
            <w:pPr>
              <w:jc w:val="both"/>
            </w:pPr>
            <w:hyperlink r:id="rId9" w:history="1">
              <w:r w:rsidR="00DE4B85" w:rsidRPr="000D71EF">
                <w:rPr>
                  <w:rStyle w:val="Hyperlink"/>
                </w:rPr>
                <w:t>www.un.org</w:t>
              </w:r>
            </w:hyperlink>
          </w:p>
          <w:p w:rsidR="00DE4B85" w:rsidRPr="000D71EF" w:rsidRDefault="007B51A5" w:rsidP="00AA69D4">
            <w:pPr>
              <w:jc w:val="both"/>
            </w:pPr>
            <w:hyperlink r:id="rId10" w:history="1">
              <w:r w:rsidR="00DE4B85" w:rsidRPr="000D71EF">
                <w:rPr>
                  <w:rStyle w:val="Hyperlink"/>
                </w:rPr>
                <w:t>http://treaties.un.org</w:t>
              </w:r>
            </w:hyperlink>
          </w:p>
          <w:p w:rsidR="00DE4B85" w:rsidRPr="000D71EF" w:rsidRDefault="007B51A5" w:rsidP="00AA69D4">
            <w:pPr>
              <w:jc w:val="both"/>
            </w:pPr>
            <w:hyperlink r:id="rId11" w:history="1">
              <w:r w:rsidR="00DE4B85" w:rsidRPr="000D71EF">
                <w:rPr>
                  <w:rStyle w:val="Hyperlink"/>
                </w:rPr>
                <w:t>www.icj-cij.org</w:t>
              </w:r>
            </w:hyperlink>
          </w:p>
          <w:p w:rsidR="00DE4B85" w:rsidRPr="000D71EF" w:rsidRDefault="007B51A5" w:rsidP="00AA69D4">
            <w:pPr>
              <w:jc w:val="both"/>
            </w:pPr>
            <w:hyperlink r:id="rId12" w:history="1">
              <w:r w:rsidR="00DE4B85" w:rsidRPr="000D71EF">
                <w:rPr>
                  <w:rStyle w:val="Hyperlink"/>
                </w:rPr>
                <w:t>www.pca-cpa.org</w:t>
              </w:r>
            </w:hyperlink>
          </w:p>
          <w:p w:rsidR="00DE4B85" w:rsidRPr="000D71EF" w:rsidRDefault="007B51A5" w:rsidP="000D71EF">
            <w:pPr>
              <w:jc w:val="both"/>
            </w:pPr>
            <w:hyperlink r:id="rId13" w:history="1">
              <w:r w:rsidR="00DE4B85" w:rsidRPr="000D71EF">
                <w:rPr>
                  <w:rStyle w:val="Hyperlink"/>
                </w:rPr>
                <w:t>http://www.un.org/law/ilc/</w:t>
              </w:r>
            </w:hyperlink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281600">
            <w:r w:rsidRPr="000D71EF">
              <w:rPr>
                <w:b/>
              </w:rPr>
              <w:lastRenderedPageBreak/>
              <w:t>Jazyk, ktorého znalosť je potrebná na absolvovanie predmetu:</w:t>
            </w:r>
            <w:r w:rsidRPr="000D71EF">
              <w:t xml:space="preserve"> anglický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Poznámky: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rPr>
                <w:b/>
              </w:rPr>
            </w:pPr>
            <w:r w:rsidRPr="000D71EF">
              <w:rPr>
                <w:b/>
              </w:rPr>
              <w:t>Hodnotenie predmetov</w:t>
            </w:r>
          </w:p>
          <w:p w:rsidR="00DE4B85" w:rsidRPr="000D71EF" w:rsidRDefault="00DE4B85" w:rsidP="00AA69D4">
            <w:r w:rsidRPr="000D71EF">
              <w:t>Celkov</w:t>
            </w:r>
            <w:r w:rsidR="006F0472" w:rsidRPr="000D71EF">
              <w:t xml:space="preserve">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DE4B85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DE4B85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</w:tr>
          </w:tbl>
          <w:p w:rsidR="00DE4B85" w:rsidRPr="000D71EF" w:rsidRDefault="00DE4B85" w:rsidP="00AA69D4"/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DE4B85">
            <w:pPr>
              <w:tabs>
                <w:tab w:val="left" w:pos="1530"/>
              </w:tabs>
              <w:jc w:val="both"/>
            </w:pPr>
            <w:r w:rsidRPr="000D71EF">
              <w:rPr>
                <w:b/>
              </w:rPr>
              <w:t>Vyučujúci:</w:t>
            </w:r>
            <w:r w:rsidRPr="000D71EF">
              <w:t xml:space="preserve"> doc. JUDr. Peter </w:t>
            </w:r>
            <w:proofErr w:type="spellStart"/>
            <w:r w:rsidRPr="000D71EF">
              <w:t>Vršanský</w:t>
            </w:r>
            <w:proofErr w:type="spellEnd"/>
            <w:r w:rsidRPr="000D71EF">
              <w:t xml:space="preserve">, CSc., Mgr. Soňa </w:t>
            </w:r>
            <w:proofErr w:type="spellStart"/>
            <w:r w:rsidRPr="000D71EF">
              <w:t>Ondrášiková</w:t>
            </w:r>
            <w:proofErr w:type="spellEnd"/>
            <w:r w:rsidRPr="000D71EF">
              <w:t xml:space="preserve"> a ďalší členovia </w:t>
            </w:r>
            <w:proofErr w:type="spellStart"/>
            <w:r w:rsidRPr="000D71EF">
              <w:t>KMPaMV</w:t>
            </w:r>
            <w:proofErr w:type="spellEnd"/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Dátum poslednej zmeny:</w:t>
            </w:r>
            <w:r w:rsidRPr="000D71EF">
              <w:t xml:space="preserve"> 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Schválil:</w:t>
            </w:r>
            <w:r w:rsidRPr="000D71EF">
              <w:t xml:space="preserve"> </w:t>
            </w:r>
          </w:p>
        </w:tc>
      </w:tr>
    </w:tbl>
    <w:p w:rsidR="00DE4B85" w:rsidRPr="000D71EF" w:rsidRDefault="00DE4B85" w:rsidP="00DE4B85">
      <w:pPr>
        <w:ind w:left="720"/>
        <w:jc w:val="both"/>
      </w:pPr>
    </w:p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8358D1" w:rsidRPr="000D71EF" w:rsidRDefault="008358D1" w:rsidP="00DE4B85">
      <w:pPr>
        <w:ind w:left="720"/>
        <w:jc w:val="right"/>
      </w:pPr>
    </w:p>
    <w:p w:rsidR="008358D1" w:rsidRPr="000D71EF" w:rsidRDefault="008358D1" w:rsidP="00DE4B85">
      <w:pPr>
        <w:ind w:left="720"/>
        <w:jc w:val="right"/>
      </w:pPr>
    </w:p>
    <w:p w:rsidR="005D0D82" w:rsidRPr="000D71EF" w:rsidRDefault="005D0D82" w:rsidP="00DE4B85">
      <w:pPr>
        <w:ind w:left="720"/>
        <w:jc w:val="right"/>
      </w:pPr>
    </w:p>
    <w:p w:rsidR="00DE4B85" w:rsidRPr="000D71EF" w:rsidRDefault="00DE4B85" w:rsidP="00DE4B85">
      <w:pPr>
        <w:ind w:left="720"/>
        <w:jc w:val="right"/>
      </w:pPr>
      <w:r w:rsidRPr="000D71EF">
        <w:lastRenderedPageBreak/>
        <w:t>Informačný list predmetu</w:t>
      </w: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Vysoká škola:</w:t>
            </w:r>
            <w:r w:rsidRPr="000D71EF">
              <w:t xml:space="preserve"> Univerzita Komenského v Bratislave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Fakulta:</w:t>
            </w:r>
            <w:r w:rsidRPr="000D71EF">
              <w:t xml:space="preserve"> Právnická fakulta</w:t>
            </w:r>
          </w:p>
        </w:tc>
      </w:tr>
      <w:tr w:rsidR="00DE4B85" w:rsidRPr="000D71EF" w:rsidTr="00AA69D4">
        <w:tc>
          <w:tcPr>
            <w:tcW w:w="4110" w:type="dxa"/>
          </w:tcPr>
          <w:p w:rsidR="00DE4B85" w:rsidRPr="000D71EF" w:rsidRDefault="00DE4B85" w:rsidP="00AA69D4">
            <w:r w:rsidRPr="000D71EF">
              <w:rPr>
                <w:b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5212" w:type="dxa"/>
          </w:tcPr>
          <w:p w:rsidR="00DE4B85" w:rsidRPr="000D71EF" w:rsidRDefault="00DE4B85" w:rsidP="00AA69D4">
            <w:pPr>
              <w:rPr>
                <w:b/>
              </w:rPr>
            </w:pPr>
            <w:r w:rsidRPr="000D71EF">
              <w:rPr>
                <w:b/>
              </w:rPr>
              <w:t xml:space="preserve">Názov predmetu: </w:t>
            </w:r>
            <w:r w:rsidRPr="000D71EF">
              <w:rPr>
                <w:i/>
              </w:rPr>
              <w:t>Európske právo 1</w:t>
            </w:r>
          </w:p>
        </w:tc>
      </w:tr>
      <w:tr w:rsidR="00DE4B85" w:rsidRPr="000D71EF" w:rsidTr="00AA69D4">
        <w:trPr>
          <w:trHeight w:val="1110"/>
        </w:trPr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Druh, rozsah a metóda vzdelávacích činností:</w:t>
            </w:r>
            <w:r w:rsidRPr="000D71EF">
              <w:t xml:space="preserve"> </w:t>
            </w:r>
          </w:p>
          <w:p w:rsidR="00DE4B85" w:rsidRPr="000D71EF" w:rsidRDefault="00DE4B85" w:rsidP="00671B03">
            <w:pPr>
              <w:widowControl w:val="0"/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iCs/>
              </w:rPr>
              <w:t>Denná forma štúdia: 1 hodina prednášok a 2 h</w:t>
            </w:r>
            <w:r w:rsidR="005D0D82" w:rsidRPr="000D71EF">
              <w:rPr>
                <w:iCs/>
              </w:rPr>
              <w:t xml:space="preserve">odiny seminárov týždenne, spolu </w:t>
            </w:r>
            <w:r w:rsidRPr="000D71EF">
              <w:rPr>
                <w:iCs/>
              </w:rPr>
              <w:t xml:space="preserve">42 hodín za </w:t>
            </w:r>
            <w:r w:rsidR="00671B03" w:rsidRPr="000D71EF">
              <w:rPr>
                <w:iCs/>
              </w:rPr>
              <w:t>semester, prezenčná metóda</w:t>
            </w:r>
          </w:p>
        </w:tc>
      </w:tr>
      <w:tr w:rsidR="00DE4B85" w:rsidRPr="000D71EF" w:rsidTr="00AA69D4">
        <w:trPr>
          <w:trHeight w:val="286"/>
        </w:trPr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Počet kreditov:</w:t>
            </w:r>
            <w:r w:rsidRPr="000D71EF">
              <w:t xml:space="preserve"> 5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Odporúčaný semester štúdia:</w:t>
            </w:r>
            <w:r w:rsidRPr="000D71EF">
              <w:t xml:space="preserve"> 1. semester 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Stupeň štúdia:</w:t>
            </w:r>
            <w:r w:rsidRPr="000D71EF">
              <w:t xml:space="preserve"> 2.</w:t>
            </w:r>
            <w:r w:rsidR="0015348F" w:rsidRPr="000D71EF">
              <w:t xml:space="preserve"> stupeň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Podmieňujúce predmety:</w:t>
            </w:r>
            <w:r w:rsidRPr="000D71EF">
              <w:t xml:space="preserve"> 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rPr>
                <w:b/>
              </w:rPr>
            </w:pPr>
            <w:r w:rsidRPr="000D71EF">
              <w:rPr>
                <w:b/>
              </w:rPr>
              <w:t xml:space="preserve">Podmienky na absolvovanie predmetu: </w:t>
            </w:r>
          </w:p>
          <w:p w:rsidR="006F0472" w:rsidRPr="000D71EF" w:rsidRDefault="00DE4B85" w:rsidP="00AA69D4">
            <w:r w:rsidRPr="000D71EF">
              <w:t>Priebežné hodnotenie</w:t>
            </w:r>
            <w:r w:rsidR="006F0472" w:rsidRPr="000D71EF">
              <w:t xml:space="preserve">: </w:t>
            </w:r>
            <w:r w:rsidRPr="000D71EF">
              <w:t>písomn</w:t>
            </w:r>
            <w:r w:rsidR="006F0472" w:rsidRPr="000D71EF">
              <w:t>é zadanie v hodnote 40 bodov (40%)</w:t>
            </w:r>
          </w:p>
          <w:p w:rsidR="006F0472" w:rsidRPr="000D71EF" w:rsidRDefault="006F0472" w:rsidP="00AA69D4">
            <w:r w:rsidRPr="000D71EF">
              <w:t xml:space="preserve">Záverečné hodnotenie: </w:t>
            </w:r>
            <w:r w:rsidR="00DE4B85" w:rsidRPr="000D71EF">
              <w:t>záverečná pís</w:t>
            </w:r>
            <w:r w:rsidRPr="000D71EF">
              <w:t>omná skúška v hodnote 60 bodov (60%)</w:t>
            </w:r>
          </w:p>
          <w:p w:rsidR="00DE4B85" w:rsidRPr="000D71EF" w:rsidRDefault="006F0472" w:rsidP="00AA69D4">
            <w:r w:rsidRPr="000D71EF">
              <w:t>M</w:t>
            </w:r>
            <w:r w:rsidR="00DE4B85" w:rsidRPr="000D71EF">
              <w:t>inimálne hodnotenie 61 % každé.</w:t>
            </w:r>
          </w:p>
          <w:p w:rsidR="00DE4B85" w:rsidRPr="000D71EF" w:rsidRDefault="00DE4B85" w:rsidP="00AA69D4">
            <w:r w:rsidRPr="000D71EF">
              <w:t xml:space="preserve">Klasifikačná stupnica: A/1 = 91 – 100 %; B/1,5 = 81 – 90 %; C/2 = 73 – 80 %; D/2,5 = 66 – 72 %; E/3 = 61 – 65 %; FX = 0 – 60 %.  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Výsledky vzdelávania:</w:t>
            </w:r>
            <w:r w:rsidRPr="000D71EF">
              <w:t xml:space="preserve"> </w:t>
            </w:r>
          </w:p>
          <w:p w:rsidR="00DE4B85" w:rsidRPr="000D71EF" w:rsidRDefault="00DE4B85" w:rsidP="00AA69D4">
            <w:pPr>
              <w:jc w:val="both"/>
            </w:pPr>
            <w:r w:rsidRPr="000D71EF">
              <w:t>Predmet má poskytnúť študentom systematický prehľad a orientáciu v inštitucionálnom, procesnom a hmotnom práve EÚ tak, aby získané poznatky z výučby predmetu boli základom pre ďalšie štúdium predmetov z práva EÚ, ktoré sú špecializované na jednotlivé parciálne oblasti a sú vyučované na príslušných katedrách.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t>Stručná osnova predmetu:</w:t>
            </w:r>
            <w:r w:rsidRPr="000D71EF">
              <w:t xml:space="preserve"> 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>1. Deľba právomocí v rámci EU</w:t>
            </w:r>
            <w:r w:rsidR="00BD121D" w:rsidRPr="000D71EF">
              <w:t xml:space="preserve"> - </w:t>
            </w:r>
            <w:r w:rsidRPr="000D71EF">
              <w:t xml:space="preserve">Cieľom je pochopiť deľbu právomocí medzi Úniu a členské štáty a zároveň spolupôsobenie pri spoločných právomociach. Historický vývoj európskej integrácie (systém troch zakladajúcich zmlúv, JEA, Maastricht, bývalý </w:t>
            </w:r>
            <w:proofErr w:type="spellStart"/>
            <w:r w:rsidRPr="000D71EF">
              <w:t>trojpilierová</w:t>
            </w:r>
            <w:proofErr w:type="spellEnd"/>
            <w:r w:rsidRPr="000D71EF">
              <w:t xml:space="preserve"> štruktúra, Lisabon a pod.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 xml:space="preserve">2. </w:t>
            </w:r>
            <w:r w:rsidR="00BD121D" w:rsidRPr="000D71EF">
              <w:t xml:space="preserve">Inštitucionálny systém EÚ - </w:t>
            </w:r>
            <w:r w:rsidRPr="000D71EF">
              <w:t>Inštitúcie EÚ, najmä Európska rada, Rada EÚ, Európska komisia a Európsky parlament, ich zloženie, kreovanie, právomoci, fungovanie a vzájomná interakcia. Rozobraná bude aj judikatúra Súdneho dvora EÚ pojednávajúca o týchto otázkach, najmä však o kompetenčných sporoch medzi radou EÚ, Európskym parlamentom a Európskou komisiou. Aktuálne otázky. Informatívne Európsky dvor audítorov, ECB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>3. Demokracia v</w:t>
            </w:r>
            <w:r w:rsidR="00BD121D" w:rsidRPr="000D71EF">
              <w:t> </w:t>
            </w:r>
            <w:r w:rsidRPr="000D71EF">
              <w:t>EÚ</w:t>
            </w:r>
            <w:r w:rsidR="00BD121D" w:rsidRPr="000D71EF">
              <w:t xml:space="preserve"> - </w:t>
            </w:r>
            <w:r w:rsidRPr="000D71EF">
              <w:t>Seminár sa sčasti zameria na posilnenú úlohu Európskeho parlamentu v rozhodovacích procesoch EÚ v nadväznosti na zmeny zavedené Lisabonskou zmluvou. Jeho hlavným cieľom však bude analýza úloh národných parlamentov, vrátane inštitútov tzv. žltej a oranžovej karty a žaloby z dôvodu porušenia zásady subsidiarity. Okrem toho sa seminár zameria aj na nový inštitút zavedený Lisabonskou zmluvou, ktorého cieľom je posilniť demokratický rozmer EÚ – Európsku občiansku iniciatívu.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>4. Pramene a povaha práva EÚ I</w:t>
            </w:r>
            <w:r w:rsidR="00BD121D" w:rsidRPr="000D71EF">
              <w:t xml:space="preserve"> - </w:t>
            </w:r>
            <w:r w:rsidRPr="000D71EF">
              <w:t xml:space="preserve">Cieľom seminára je, aby študenti získali orientáciu v prameňoch práva EÚ a osvojili si, ako sa tieto pramene aplikujú vo vnútroštátnych podmienkach. Objasnené budú druhy prameňov z hľadiska ich právnej sily a záväznosti s osobitným dôrazom na nariadenie, smernicu a rozhodnutie. Metódami vedúcimi k osvojeniu vedomostí bude o. i. aj práca s konkrétnymi príkladmi prameňov na seminári. 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>5. Pramene a povaha práva EÚ II</w:t>
            </w:r>
            <w:r w:rsidR="00BD121D" w:rsidRPr="000D71EF">
              <w:t xml:space="preserve"> - </w:t>
            </w:r>
            <w:r w:rsidRPr="000D71EF">
              <w:t xml:space="preserve">Pozornosť bude venovaná aj právnym vlastnostiam práva EÚ a zásadám jeho aplikácie na území členských štátov v interakcii s národným právom, ako sú prednosť, priama použiteľnosť, priamy účinok, nepriamy účinok a zodpovednosť </w:t>
            </w:r>
            <w:r w:rsidRPr="000D71EF">
              <w:lastRenderedPageBreak/>
              <w:t>členského štátu za škodu spôsobenú jednotlivcovi. Metódami vedúcimi k osvojeniu vedomostí bude o. i. rozbor dôležitých judikátov SD EÚ a riešenie simulovaných prípadových štúdií.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>6. Tvorba práva I – Legislatívny proces</w:t>
            </w:r>
            <w:r w:rsidR="00BD121D" w:rsidRPr="000D71EF">
              <w:t xml:space="preserve"> - </w:t>
            </w:r>
            <w:r w:rsidRPr="000D71EF">
              <w:t>Cieľom je získanie orientácie v dôležitom rozhodovacom procese EÚ, ktorý vedie k prijatiu legislatívy. Okrem vymedzenia právomocí jednotlivých inštitúcií sa pozornosť zameria na špecifiká riadneho a mimoriadneho legislatívneho postupu a najdôležitejšiu judikatúru Súdneho dvora EÚ spojenú s legislatívnymi postupmi. Postavenie poradných výborov.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 xml:space="preserve">7. Tvorba práva II -- Implementácia práva EÚ, </w:t>
            </w:r>
            <w:proofErr w:type="spellStart"/>
            <w:r w:rsidRPr="000D71EF">
              <w:t>komitológia</w:t>
            </w:r>
            <w:proofErr w:type="spellEnd"/>
            <w:r w:rsidR="00BD121D" w:rsidRPr="000D71EF">
              <w:t xml:space="preserve"> - </w:t>
            </w:r>
            <w:r w:rsidRPr="000D71EF">
              <w:t>Predmetom seminára bude objasnenie základných princípov implementácie práva EÚ. Pozornosť bude zameraná najmä na systém vykonávacích a delegovaných aktov zakotvených Lisabonskou zmluvou, ich vzťah k legislatívnym aktom dôvody ich zavedenia a historický vývoj ktorý im predchádzal.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>8. Tvorba práva III – legislatívna technika</w:t>
            </w:r>
            <w:r w:rsidR="00BD121D" w:rsidRPr="000D71EF">
              <w:t xml:space="preserve"> - </w:t>
            </w:r>
            <w:r w:rsidRPr="000D71EF">
              <w:t>Študenti si osvoja formálne znaky jednotlivých predpisov, zásady ich tvorby a základy legislatívnych pravidiel. Študenti by mali byť schopní pripraviť návrh dokumentu a opísať priebeh legislatívneho procesu jeho prijímania.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>9. Tvorba práva IV – nelegislatívne rozhodovacie procesy</w:t>
            </w:r>
            <w:r w:rsidR="00BD121D" w:rsidRPr="000D71EF">
              <w:t xml:space="preserve"> - </w:t>
            </w:r>
            <w:r w:rsidRPr="000D71EF">
              <w:t xml:space="preserve">Zmena zakladajúcich zmlúv EÚ, pristúpenie k EÚ. Rozhodovacie procesy v rámci spoločnej zahraničnej a bezpečnostnej politiky. Rozhodovacie procesy </w:t>
            </w:r>
            <w:proofErr w:type="spellStart"/>
            <w:r w:rsidRPr="000D71EF">
              <w:t>sui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generis</w:t>
            </w:r>
            <w:proofErr w:type="spellEnd"/>
            <w:r w:rsidRPr="000D71EF">
              <w:t>. Európska komisia ako správny orgán, zásady konania.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>10. Súdny systém EÚ I</w:t>
            </w:r>
            <w:r w:rsidR="00BD121D" w:rsidRPr="000D71EF">
              <w:t xml:space="preserve"> - </w:t>
            </w:r>
            <w:r w:rsidRPr="000D71EF">
              <w:t>Predmetom seminára budú inštitucionálne otázky súdneho systému EÚ (zloženie, kreovanie, právomoci, fungovanie) a jednotlivé druhy žalôb a konaní pred Súdnym dvorom EÚ (1. časť)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>11. Súdny systém EÚ II</w:t>
            </w:r>
            <w:r w:rsidR="00BD121D" w:rsidRPr="000D71EF">
              <w:t xml:space="preserve"> - </w:t>
            </w:r>
            <w:r w:rsidRPr="000D71EF">
              <w:t>Predmetom seminára budú jednotlivé druhy žalôb a konaní pred Súdnym dvorom EÚ (2. časť)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>12. Súdny systém EÚ III</w:t>
            </w:r>
            <w:r w:rsidR="00BD121D" w:rsidRPr="000D71EF">
              <w:t xml:space="preserve"> - </w:t>
            </w:r>
            <w:r w:rsidRPr="000D71EF">
              <w:t>Pravidlá konania pred Súdnym dvorom EÚ</w:t>
            </w:r>
          </w:p>
          <w:p w:rsidR="00DE4B85" w:rsidRPr="000D71EF" w:rsidRDefault="00DE4B85" w:rsidP="00671CF2">
            <w:pPr>
              <w:ind w:left="425" w:hanging="425"/>
              <w:jc w:val="both"/>
            </w:pPr>
            <w:r w:rsidRPr="000D71EF">
              <w:t>13. Uzatváranie medzinárodných zmlúv</w:t>
            </w:r>
            <w:r w:rsidR="00992B07" w:rsidRPr="000D71EF">
              <w:t xml:space="preserve"> </w:t>
            </w:r>
            <w:r w:rsidR="00BD121D" w:rsidRPr="000D71EF">
              <w:t xml:space="preserve">- </w:t>
            </w:r>
            <w:r w:rsidRPr="000D71EF">
              <w:t>Seminár sa zameriava na techniku, postup a právomoci pri uzatváraní zmlúv a možnosti preskúmania SD EÚ</w:t>
            </w:r>
          </w:p>
          <w:p w:rsidR="00DE4B85" w:rsidRPr="000D71EF" w:rsidRDefault="00992B07" w:rsidP="00671CF2">
            <w:pPr>
              <w:ind w:left="425" w:hanging="425"/>
              <w:jc w:val="both"/>
            </w:pPr>
            <w:r w:rsidRPr="000D71EF">
              <w:t>14. Špecifické otázky Európskeho práva</w:t>
            </w:r>
          </w:p>
          <w:p w:rsidR="00DE4B85" w:rsidRPr="000D71EF" w:rsidRDefault="00DE4B85" w:rsidP="00281600">
            <w:pPr>
              <w:numPr>
                <w:ilvl w:val="0"/>
                <w:numId w:val="42"/>
              </w:numPr>
              <w:spacing w:line="276" w:lineRule="auto"/>
              <w:jc w:val="both"/>
            </w:pPr>
            <w:r w:rsidRPr="000D71EF">
              <w:t>Implementácia a aplikácia európskeho práva vo vnútroštátnych podmienkach</w:t>
            </w:r>
          </w:p>
          <w:p w:rsidR="00DE4B85" w:rsidRPr="000D71EF" w:rsidRDefault="00DE4B85" w:rsidP="00281600">
            <w:pPr>
              <w:numPr>
                <w:ilvl w:val="0"/>
                <w:numId w:val="42"/>
              </w:numPr>
              <w:spacing w:line="276" w:lineRule="auto"/>
              <w:jc w:val="both"/>
            </w:pPr>
            <w:r w:rsidRPr="000D71EF">
              <w:t>Štátna pomoc (samostatná téma)</w:t>
            </w:r>
          </w:p>
          <w:p w:rsidR="00DE4B85" w:rsidRPr="000D71EF" w:rsidRDefault="00DE4B85" w:rsidP="00281600">
            <w:pPr>
              <w:numPr>
                <w:ilvl w:val="0"/>
                <w:numId w:val="42"/>
              </w:numPr>
              <w:spacing w:line="276" w:lineRule="auto"/>
              <w:jc w:val="both"/>
            </w:pPr>
            <w:r w:rsidRPr="000D71EF">
              <w:t>Spoločná obchodná politika</w:t>
            </w:r>
          </w:p>
          <w:p w:rsidR="00DE4B85" w:rsidRPr="000D71EF" w:rsidRDefault="00DE4B85" w:rsidP="00281600">
            <w:pPr>
              <w:numPr>
                <w:ilvl w:val="0"/>
                <w:numId w:val="42"/>
              </w:numPr>
              <w:spacing w:line="276" w:lineRule="auto"/>
              <w:jc w:val="both"/>
            </w:pPr>
            <w:r w:rsidRPr="000D71EF">
              <w:t>Konanie pred EK vo veciach hospodárskej súťaže, prípadne iné osobitné procesné postupy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r w:rsidRPr="000D71EF">
              <w:rPr>
                <w:b/>
              </w:rPr>
              <w:lastRenderedPageBreak/>
              <w:t>Odporúčaná literatúra:</w:t>
            </w:r>
            <w:r w:rsidRPr="000D71EF">
              <w:t xml:space="preserve"> </w:t>
            </w:r>
          </w:p>
          <w:p w:rsidR="00DE4B85" w:rsidRPr="000D71EF" w:rsidRDefault="00DE4B85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Barnard</w:t>
            </w:r>
            <w:proofErr w:type="spellEnd"/>
            <w:r w:rsidRPr="000D71EF">
              <w:t xml:space="preserve">, C. :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Substantive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EU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Four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Freedoms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2013.</w:t>
            </w:r>
          </w:p>
          <w:p w:rsidR="00DE4B85" w:rsidRPr="000D71EF" w:rsidRDefault="00DE4B85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Vivien</w:t>
            </w:r>
            <w:proofErr w:type="spellEnd"/>
            <w:r w:rsidRPr="000D71EF">
              <w:t xml:space="preserve"> Rose, V.—</w:t>
            </w:r>
            <w:proofErr w:type="spellStart"/>
            <w:r w:rsidRPr="000D71EF">
              <w:t>Bailey</w:t>
            </w:r>
            <w:proofErr w:type="spellEnd"/>
            <w:r w:rsidRPr="000D71EF">
              <w:t xml:space="preserve">, D.: </w:t>
            </w:r>
            <w:proofErr w:type="spellStart"/>
            <w:r w:rsidRPr="000D71EF">
              <w:t>Bellamy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Child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Union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Competition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2013.</w:t>
            </w:r>
          </w:p>
          <w:p w:rsidR="00DE4B85" w:rsidRPr="000D71EF" w:rsidRDefault="00DE4B85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Ashiagbor</w:t>
            </w:r>
            <w:proofErr w:type="spellEnd"/>
            <w:r w:rsidRPr="000D71EF">
              <w:t xml:space="preserve">, D. – </w:t>
            </w:r>
            <w:proofErr w:type="spellStart"/>
            <w:r w:rsidRPr="000D71EF">
              <w:t>Countouris</w:t>
            </w:r>
            <w:proofErr w:type="spellEnd"/>
            <w:r w:rsidRPr="000D71EF">
              <w:t xml:space="preserve"> , N. – </w:t>
            </w:r>
            <w:proofErr w:type="spellStart"/>
            <w:r w:rsidRPr="000D71EF">
              <w:t>Lianos</w:t>
            </w:r>
            <w:proofErr w:type="spellEnd"/>
            <w:r w:rsidRPr="000D71EF">
              <w:t xml:space="preserve">, I.: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Union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after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Treaty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Lisbon</w:t>
            </w:r>
            <w:proofErr w:type="spellEnd"/>
            <w:r w:rsidRPr="000D71EF">
              <w:t xml:space="preserve">.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2012.</w:t>
            </w:r>
          </w:p>
          <w:p w:rsidR="00DE4B85" w:rsidRPr="000D71EF" w:rsidRDefault="00DE4B85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Lenaerts</w:t>
            </w:r>
            <w:proofErr w:type="spellEnd"/>
            <w:r w:rsidRPr="000D71EF">
              <w:t xml:space="preserve">, K. – </w:t>
            </w:r>
            <w:proofErr w:type="spellStart"/>
            <w:r w:rsidRPr="000D71EF">
              <w:t>Van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Nuffel,P</w:t>
            </w:r>
            <w:proofErr w:type="spellEnd"/>
            <w:r w:rsidRPr="000D71EF">
              <w:t xml:space="preserve">.: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Union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Third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, Londýn, </w:t>
            </w:r>
            <w:proofErr w:type="spellStart"/>
            <w:r w:rsidRPr="000D71EF">
              <w:t>Sweet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Maxwell</w:t>
            </w:r>
            <w:proofErr w:type="spellEnd"/>
            <w:r w:rsidRPr="000D71EF">
              <w:t>, 2011.</w:t>
            </w:r>
          </w:p>
          <w:p w:rsidR="00DE4B85" w:rsidRPr="000D71EF" w:rsidRDefault="00DE4B85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Craig,P</w:t>
            </w:r>
            <w:proofErr w:type="spellEnd"/>
            <w:r w:rsidRPr="000D71EF">
              <w:t xml:space="preserve">. – </w:t>
            </w:r>
            <w:proofErr w:type="spellStart"/>
            <w:r w:rsidRPr="000D71EF">
              <w:t>de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Búrca</w:t>
            </w:r>
            <w:proofErr w:type="spellEnd"/>
            <w:r w:rsidRPr="000D71EF">
              <w:t xml:space="preserve">, G. :EU LAW, Text, </w:t>
            </w:r>
            <w:proofErr w:type="spellStart"/>
            <w:r w:rsidRPr="000D71EF">
              <w:t>Cases</w:t>
            </w:r>
            <w:proofErr w:type="spellEnd"/>
            <w:r w:rsidRPr="000D71EF">
              <w:t xml:space="preserve">, and </w:t>
            </w:r>
            <w:proofErr w:type="spellStart"/>
            <w:r w:rsidRPr="000D71EF">
              <w:t>Materials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Fifth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. 2011, New York,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Press.</w:t>
            </w:r>
          </w:p>
          <w:p w:rsidR="00DE4B85" w:rsidRPr="000D71EF" w:rsidRDefault="00DE4B85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Woods</w:t>
            </w:r>
            <w:proofErr w:type="spellEnd"/>
            <w:r w:rsidRPr="000D71EF">
              <w:t xml:space="preserve">, L. – </w:t>
            </w:r>
            <w:proofErr w:type="spellStart"/>
            <w:r w:rsidRPr="000D71EF">
              <w:t>Watson</w:t>
            </w:r>
            <w:proofErr w:type="spellEnd"/>
            <w:r w:rsidRPr="000D71EF">
              <w:t xml:space="preserve">, P.: EU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2012</w:t>
            </w:r>
          </w:p>
          <w:p w:rsidR="00DE4B85" w:rsidRPr="000D71EF" w:rsidRDefault="00DE4B85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Chalmers</w:t>
            </w:r>
            <w:proofErr w:type="spellEnd"/>
            <w:r w:rsidRPr="000D71EF">
              <w:t xml:space="preserve">, D. – </w:t>
            </w:r>
            <w:proofErr w:type="spellStart"/>
            <w:r w:rsidRPr="000D71EF">
              <w:t>Davies</w:t>
            </w:r>
            <w:proofErr w:type="spellEnd"/>
            <w:r w:rsidRPr="000D71EF">
              <w:t xml:space="preserve">, G.— </w:t>
            </w:r>
            <w:proofErr w:type="spellStart"/>
            <w:r w:rsidRPr="000D71EF">
              <w:t>Monti</w:t>
            </w:r>
            <w:proofErr w:type="spellEnd"/>
            <w:r w:rsidRPr="000D71EF">
              <w:t xml:space="preserve">, G.: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Union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</w:t>
            </w:r>
            <w:r w:rsidRPr="000D71EF">
              <w:lastRenderedPageBreak/>
              <w:t>2010</w:t>
            </w:r>
          </w:p>
          <w:p w:rsidR="00DE4B85" w:rsidRPr="000D71EF" w:rsidRDefault="00DE4B85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Weatherill</w:t>
            </w:r>
            <w:proofErr w:type="spellEnd"/>
            <w:r w:rsidRPr="000D71EF">
              <w:t xml:space="preserve">, S.: </w:t>
            </w:r>
            <w:proofErr w:type="spellStart"/>
            <w:r w:rsidRPr="000D71EF">
              <w:t>Cases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Materials</w:t>
            </w:r>
            <w:proofErr w:type="spellEnd"/>
            <w:r w:rsidRPr="000D71EF">
              <w:t xml:space="preserve"> on EU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2012</w:t>
            </w:r>
          </w:p>
          <w:p w:rsidR="00DE4B85" w:rsidRPr="000D71EF" w:rsidRDefault="00DE4B85" w:rsidP="00AA69D4">
            <w:pPr>
              <w:ind w:left="720"/>
              <w:jc w:val="both"/>
            </w:pP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6F0472">
            <w:r w:rsidRPr="000D71EF">
              <w:rPr>
                <w:b/>
              </w:rPr>
              <w:lastRenderedPageBreak/>
              <w:t>Jazyk, ktorého znalosť je potrebná na absolvovanie predmetu:</w:t>
            </w:r>
            <w:r w:rsidRPr="000D71EF">
              <w:t xml:space="preserve"> anglický 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jc w:val="both"/>
            </w:pPr>
            <w:r w:rsidRPr="000D71EF">
              <w:rPr>
                <w:b/>
              </w:rPr>
              <w:t>Poznámky:</w:t>
            </w:r>
            <w:r w:rsidRPr="000D71EF">
              <w:t xml:space="preserve"> 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rPr>
                <w:b/>
              </w:rPr>
            </w:pPr>
            <w:r w:rsidRPr="000D71EF">
              <w:rPr>
                <w:b/>
              </w:rPr>
              <w:t>Hodnotenie predmetov</w:t>
            </w:r>
          </w:p>
          <w:p w:rsidR="00DE4B85" w:rsidRPr="000D71EF" w:rsidRDefault="00DE4B85" w:rsidP="00AA69D4">
            <w:r w:rsidRPr="000D71EF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DE4B85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DE4B85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85" w:rsidRPr="000D71EF" w:rsidRDefault="00DE4B85" w:rsidP="00AA69D4">
                  <w:pPr>
                    <w:jc w:val="center"/>
                  </w:pPr>
                </w:p>
              </w:tc>
            </w:tr>
          </w:tbl>
          <w:p w:rsidR="00DE4B85" w:rsidRPr="000D71EF" w:rsidRDefault="00DE4B85" w:rsidP="00AA69D4"/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0D71EF">
              <w:rPr>
                <w:b/>
              </w:rPr>
              <w:t>Vyučujúci:</w:t>
            </w:r>
            <w:r w:rsidRPr="000D71EF">
              <w:t xml:space="preserve"> </w:t>
            </w:r>
          </w:p>
          <w:p w:rsidR="00DE4B85" w:rsidRPr="000D71EF" w:rsidRDefault="00DE4B85" w:rsidP="005D0D82">
            <w:pPr>
              <w:tabs>
                <w:tab w:val="left" w:pos="1530"/>
              </w:tabs>
            </w:pPr>
            <w:r w:rsidRPr="000D71EF">
              <w:t xml:space="preserve">Ing. Mgr. Ondrej </w:t>
            </w:r>
            <w:proofErr w:type="spellStart"/>
            <w:r w:rsidRPr="000D71EF">
              <w:t>Blažo</w:t>
            </w:r>
            <w:proofErr w:type="spellEnd"/>
            <w:r w:rsidRPr="000D71EF">
              <w:t>, PhD., Mgr. Kristína Považanová, JUDr. Daniela Ježová, PhD., LL.M.</w:t>
            </w:r>
            <w:r w:rsidR="005D0D82" w:rsidRPr="000D71EF">
              <w:t xml:space="preserve">, </w:t>
            </w:r>
            <w:r w:rsidR="005D0D82" w:rsidRPr="000D71EF">
              <w:t xml:space="preserve">JUDr. Hana </w:t>
            </w:r>
            <w:proofErr w:type="spellStart"/>
            <w:r w:rsidR="005D0D82" w:rsidRPr="000D71EF">
              <w:t>Kováčiková</w:t>
            </w:r>
            <w:proofErr w:type="spellEnd"/>
            <w:r w:rsidR="005D0D82" w:rsidRPr="000D71EF">
              <w:t>, PhD.</w:t>
            </w:r>
            <w:r w:rsidRPr="000D71EF">
              <w:t xml:space="preserve"> </w:t>
            </w:r>
            <w:r w:rsidRPr="000D71EF">
              <w:rPr>
                <w:iCs/>
              </w:rPr>
              <w:t>a ďalší členovia ÚEP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Dátum poslednej zmeny:</w:t>
            </w:r>
            <w:r w:rsidRPr="000D71EF">
              <w:t xml:space="preserve"> </w:t>
            </w:r>
          </w:p>
        </w:tc>
      </w:tr>
      <w:tr w:rsidR="00DE4B85" w:rsidRPr="000D71EF" w:rsidTr="00AA69D4">
        <w:tc>
          <w:tcPr>
            <w:tcW w:w="9322" w:type="dxa"/>
            <w:gridSpan w:val="2"/>
          </w:tcPr>
          <w:p w:rsidR="00DE4B85" w:rsidRPr="000D71EF" w:rsidRDefault="00DE4B85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Schválil:</w:t>
            </w:r>
            <w:r w:rsidRPr="000D71EF">
              <w:t xml:space="preserve"> </w:t>
            </w:r>
          </w:p>
        </w:tc>
      </w:tr>
    </w:tbl>
    <w:p w:rsidR="00DE4B85" w:rsidRPr="000D71EF" w:rsidRDefault="00DE4B85" w:rsidP="00DE4B85">
      <w:pPr>
        <w:ind w:left="720"/>
        <w:jc w:val="both"/>
      </w:pPr>
    </w:p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E816A1" w:rsidRPr="000D71EF" w:rsidRDefault="00E816A1" w:rsidP="00DE4B85"/>
    <w:p w:rsidR="008358D1" w:rsidRPr="000D71EF" w:rsidRDefault="008358D1" w:rsidP="00486C70">
      <w:pPr>
        <w:ind w:left="720"/>
        <w:jc w:val="right"/>
      </w:pPr>
    </w:p>
    <w:p w:rsidR="008358D1" w:rsidRPr="000D71EF" w:rsidRDefault="008358D1" w:rsidP="00486C70">
      <w:pPr>
        <w:ind w:left="720"/>
        <w:jc w:val="right"/>
      </w:pPr>
    </w:p>
    <w:p w:rsidR="008358D1" w:rsidRPr="000D71EF" w:rsidRDefault="008358D1" w:rsidP="00486C70">
      <w:pPr>
        <w:ind w:left="720"/>
        <w:jc w:val="right"/>
      </w:pPr>
    </w:p>
    <w:p w:rsidR="00486C70" w:rsidRPr="000D71EF" w:rsidRDefault="00486C70" w:rsidP="00486C70">
      <w:pPr>
        <w:ind w:left="720"/>
        <w:jc w:val="right"/>
      </w:pPr>
      <w:r w:rsidRPr="000D71EF">
        <w:lastRenderedPageBreak/>
        <w:t>Informačný list predmetu</w:t>
      </w: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Vysoká škola:</w:t>
            </w:r>
            <w:r w:rsidRPr="000D71EF">
              <w:t xml:space="preserve"> Univerzita Komenského v Bratislave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Fakulta:</w:t>
            </w:r>
            <w:r w:rsidRPr="000D71EF">
              <w:t xml:space="preserve"> Právnická fakulta</w:t>
            </w:r>
          </w:p>
        </w:tc>
      </w:tr>
      <w:tr w:rsidR="00486C70" w:rsidRPr="000D71EF" w:rsidTr="00AA69D4">
        <w:tc>
          <w:tcPr>
            <w:tcW w:w="4110" w:type="dxa"/>
          </w:tcPr>
          <w:p w:rsidR="00486C70" w:rsidRPr="000D71EF" w:rsidRDefault="00486C70" w:rsidP="00AA69D4">
            <w:r w:rsidRPr="000D71EF">
              <w:rPr>
                <w:b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5212" w:type="dxa"/>
          </w:tcPr>
          <w:p w:rsidR="00486C70" w:rsidRPr="000D71EF" w:rsidRDefault="00486C70" w:rsidP="00AA69D4">
            <w:pPr>
              <w:rPr>
                <w:b/>
              </w:rPr>
            </w:pPr>
            <w:r w:rsidRPr="000D71EF">
              <w:rPr>
                <w:b/>
              </w:rPr>
              <w:t xml:space="preserve">Názov predmetu: </w:t>
            </w:r>
            <w:r w:rsidRPr="000D71EF">
              <w:rPr>
                <w:i/>
              </w:rPr>
              <w:t>Medzinárodné právo súkromné 1</w:t>
            </w:r>
            <w:r w:rsidRPr="000D71EF">
              <w:rPr>
                <w:b/>
              </w:rPr>
              <w:t xml:space="preserve"> </w:t>
            </w:r>
          </w:p>
        </w:tc>
      </w:tr>
      <w:tr w:rsidR="00486C70" w:rsidRPr="000D71EF" w:rsidTr="00AA69D4">
        <w:trPr>
          <w:trHeight w:val="1110"/>
        </w:trPr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Druh, rozsah a metóda vzdelávacích činností:</w:t>
            </w:r>
            <w:r w:rsidRPr="000D71EF">
              <w:t xml:space="preserve"> </w:t>
            </w:r>
          </w:p>
          <w:p w:rsidR="00486C70" w:rsidRPr="000D71EF" w:rsidRDefault="00486C70" w:rsidP="006F0472">
            <w:pPr>
              <w:widowControl w:val="0"/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iCs/>
              </w:rPr>
              <w:t>Denná forma štúdia: 1 hodina prednášok a 2 hodiny seminárov týždenne, spolu 42 hodí</w:t>
            </w:r>
            <w:r w:rsidR="006F0472" w:rsidRPr="000D71EF">
              <w:rPr>
                <w:iCs/>
              </w:rPr>
              <w:t>n za semester, prezenčná metóda</w:t>
            </w:r>
          </w:p>
        </w:tc>
      </w:tr>
      <w:tr w:rsidR="00486C70" w:rsidRPr="000D71EF" w:rsidTr="00AA69D4">
        <w:trPr>
          <w:trHeight w:val="286"/>
        </w:trPr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Počet kreditov:</w:t>
            </w:r>
            <w:r w:rsidRPr="000D71EF">
              <w:t xml:space="preserve"> 4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Odporúčaný semester štúdia:</w:t>
            </w:r>
            <w:r w:rsidRPr="000D71EF">
              <w:t xml:space="preserve"> 1. semester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Stupeň štúdia:</w:t>
            </w:r>
            <w:r w:rsidR="0062793F" w:rsidRPr="000D71EF">
              <w:t xml:space="preserve"> 2. stupeň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Podmieňujúce predmety:</w:t>
            </w:r>
            <w:r w:rsidRPr="000D71EF">
              <w:t xml:space="preserve">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rPr>
                <w:b/>
              </w:rPr>
            </w:pPr>
            <w:r w:rsidRPr="000D71EF">
              <w:rPr>
                <w:b/>
              </w:rPr>
              <w:t xml:space="preserve">Podmienky na absolvovanie predmetu: </w:t>
            </w:r>
          </w:p>
          <w:p w:rsidR="00486C70" w:rsidRPr="000D71EF" w:rsidRDefault="00486C70" w:rsidP="00AA69D4">
            <w:r w:rsidRPr="000D71EF">
              <w:t xml:space="preserve">Priebežné hodnotenie: 40 %  </w:t>
            </w:r>
          </w:p>
          <w:p w:rsidR="00486C70" w:rsidRPr="000D71EF" w:rsidRDefault="00486C70" w:rsidP="00AA69D4">
            <w:r w:rsidRPr="000D71EF">
              <w:t>Záverečná ústna skúška: 60 %</w:t>
            </w:r>
          </w:p>
          <w:p w:rsidR="00486C70" w:rsidRPr="000D71EF" w:rsidRDefault="00486C70" w:rsidP="00AA69D4">
            <w:r w:rsidRPr="000D71EF">
              <w:t xml:space="preserve">Klasifikačná stupnica: A/1 = 91 – 100 %; B/1,5 = 81 – 90 %; C/2 = 73 – 80 %; D/2,5 = 66 – 72 %; E/3 = 61 – 65 %; FX = 0 – 60 %. 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Výsledky vzdelávania:</w:t>
            </w:r>
            <w:r w:rsidRPr="000D71EF">
              <w:t xml:space="preserve"> </w:t>
            </w:r>
          </w:p>
          <w:p w:rsidR="00486C70" w:rsidRPr="000D71EF" w:rsidRDefault="00486C70" w:rsidP="00AA69D4">
            <w:pPr>
              <w:jc w:val="both"/>
            </w:pPr>
            <w:r w:rsidRPr="000D71EF">
              <w:t>Predmet má poskytnúť študentom systematický prehľad a orientáciu v problematike riešenia súkromnoprávnych vzťahov s cudzím prvkom. Výber rozhodného práva. Procesné pravidlá pre konanie o súkromnoprávnych vzťahoch s cudzím prvkom.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Stručná osnova predmetu:</w:t>
            </w:r>
            <w:r w:rsidRPr="000D71EF">
              <w:t xml:space="preserve"> 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>Pojem, predmet a subjekty medzinárodného práva súkromného. Cudzí prvok v právnom pomere a cudzí prvok v konaní. Medzinárodné právo procesné ako súčasť medzinárodného práva súkromného.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 xml:space="preserve">Pramene medzinárodné práva súkromného. Unifikácia a kodifikácia. Medzinárodné organizácie a ich význam pre medzinárodné právo súkromné. 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>Kolízna metóda  a priama metóda ako metódy riešenia kolízie právnych poriadkov.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 xml:space="preserve">Kolízna norma a jej aplikácia – kvalifikačný problém, </w:t>
            </w:r>
            <w:proofErr w:type="spellStart"/>
            <w:r w:rsidRPr="000D71EF">
              <w:t>remisia</w:t>
            </w:r>
            <w:proofErr w:type="spellEnd"/>
            <w:r w:rsidRPr="000D71EF">
              <w:t xml:space="preserve">, transmisia, 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>Zisťovanie cudzieho práva v </w:t>
            </w:r>
            <w:proofErr w:type="spellStart"/>
            <w:r w:rsidRPr="000D71EF">
              <w:t>MPSaP</w:t>
            </w:r>
            <w:proofErr w:type="spellEnd"/>
            <w:r w:rsidRPr="000D71EF">
              <w:t xml:space="preserve"> a spôsob jeho aplikácie, výhrada verejného poriadku, imperatívne normy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>Právne postavenie cudzincov v oblasti ich osobných a majetkových práv, právne postavenie cudzincov v konaní, vzájomnosť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 xml:space="preserve">Medzinárodná právomoc a medzinárodná príslušnosť v medzinárodnom práve súkromnom. 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 xml:space="preserve">Voľba práva a voľba súdu v MPS 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>Právna pomoc v styku s cudzinou, doručovanie a dožiadanie v medzinárodnom práve súkromnom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 xml:space="preserve">Dôkazná moc cudzích verejných listín, 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>Uznanie a výkon cudzích rozhodnutí.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 xml:space="preserve">Voľný pohyb súdnych rozhodnutí v Európskej únii - Európsky platobný rozkaz, Európske konanie vo veciach s nízkou hodnotou sporu </w:t>
            </w:r>
          </w:p>
          <w:p w:rsidR="00486C70" w:rsidRPr="000D71EF" w:rsidRDefault="00486C70" w:rsidP="00671CF2">
            <w:pPr>
              <w:numPr>
                <w:ilvl w:val="0"/>
                <w:numId w:val="3"/>
              </w:numPr>
              <w:ind w:left="425" w:hanging="425"/>
              <w:jc w:val="both"/>
            </w:pPr>
            <w:r w:rsidRPr="000D71EF">
              <w:t xml:space="preserve">Medzinárodné rozhodcovské konanie </w:t>
            </w:r>
          </w:p>
          <w:p w:rsidR="00486C70" w:rsidRPr="000D71EF" w:rsidRDefault="00486C70" w:rsidP="006F0472">
            <w:pPr>
              <w:numPr>
                <w:ilvl w:val="0"/>
                <w:numId w:val="3"/>
              </w:numPr>
              <w:ind w:left="425" w:hanging="425"/>
              <w:jc w:val="both"/>
            </w:pPr>
            <w:proofErr w:type="spellStart"/>
            <w:r w:rsidRPr="000D71EF">
              <w:t>Repetitórium</w:t>
            </w:r>
            <w:proofErr w:type="spellEnd"/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Odporúčaná literatúra:</w:t>
            </w:r>
            <w:r w:rsidRPr="000D71EF">
              <w:t xml:space="preserve"> </w:t>
            </w:r>
          </w:p>
          <w:p w:rsidR="00486C70" w:rsidRPr="000D71EF" w:rsidRDefault="00486C70" w:rsidP="00AA69D4">
            <w:r w:rsidRPr="000D71EF">
              <w:t xml:space="preserve">ROGERSON, P. -  COLLIER, J.: </w:t>
            </w:r>
            <w:proofErr w:type="spellStart"/>
            <w:r w:rsidRPr="000D71EF">
              <w:t>Conflict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Laws</w:t>
            </w:r>
            <w:proofErr w:type="spellEnd"/>
            <w:r w:rsidRPr="000D71EF">
              <w:t xml:space="preserve">. 4th </w:t>
            </w:r>
            <w:proofErr w:type="spellStart"/>
            <w:r w:rsidRPr="000D71EF">
              <w:t>Revised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, </w:t>
            </w:r>
            <w:r w:rsidRPr="000D71EF">
              <w:rPr>
                <w:b/>
                <w:bCs/>
              </w:rPr>
              <w:t xml:space="preserve"> </w:t>
            </w:r>
            <w:hyperlink r:id="rId14" w:tooltip="Search for other titles from this publisher" w:history="1">
              <w:r w:rsidRPr="000D71EF">
                <w:t xml:space="preserve">Cambridge </w:t>
              </w:r>
              <w:proofErr w:type="spellStart"/>
              <w:r w:rsidRPr="000D71EF">
                <w:t>University</w:t>
              </w:r>
              <w:proofErr w:type="spellEnd"/>
              <w:r w:rsidRPr="000D71EF">
                <w:t xml:space="preserve"> Press</w:t>
              </w:r>
            </w:hyperlink>
            <w:r w:rsidRPr="000D71EF">
              <w:t xml:space="preserve">, </w:t>
            </w:r>
            <w:r w:rsidRPr="000D71EF">
              <w:rPr>
                <w:bCs/>
              </w:rPr>
              <w:t xml:space="preserve">ISBN </w:t>
            </w:r>
            <w:r w:rsidRPr="000D71EF">
              <w:t>9780521735056</w:t>
            </w:r>
            <w:r w:rsidRPr="000D71EF">
              <w:br/>
            </w:r>
            <w:r w:rsidRPr="000D71EF">
              <w:lastRenderedPageBreak/>
              <w:t xml:space="preserve">BOGDAN, M. – MAUNSBACH, U.: EU </w:t>
            </w:r>
            <w:proofErr w:type="spellStart"/>
            <w:r w:rsidRPr="000D71EF">
              <w:t>Private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An</w:t>
            </w:r>
            <w:proofErr w:type="spellEnd"/>
            <w:r w:rsidRPr="000D71EF">
              <w:t xml:space="preserve"> ECJ </w:t>
            </w:r>
            <w:proofErr w:type="spellStart"/>
            <w:r w:rsidRPr="000D71EF">
              <w:t>Casebook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Europa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Publishing</w:t>
            </w:r>
            <w:proofErr w:type="spellEnd"/>
            <w:r w:rsidRPr="000D71EF">
              <w:t>, 2012, ISBN 978 908 952 20005</w:t>
            </w:r>
          </w:p>
          <w:p w:rsidR="00486C70" w:rsidRPr="000D71EF" w:rsidRDefault="00486C70" w:rsidP="00AA69D4">
            <w:pPr>
              <w:autoSpaceDE w:val="0"/>
              <w:autoSpaceDN w:val="0"/>
              <w:adjustRightInd w:val="0"/>
            </w:pPr>
            <w:r w:rsidRPr="000D71EF">
              <w:t xml:space="preserve">BOGDAN, M.: </w:t>
            </w:r>
            <w:proofErr w:type="spellStart"/>
            <w:r w:rsidRPr="000D71EF">
              <w:t>Concise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Introduction</w:t>
            </w:r>
            <w:proofErr w:type="spellEnd"/>
            <w:r w:rsidRPr="000D71EF">
              <w:t xml:space="preserve"> to EU </w:t>
            </w:r>
            <w:proofErr w:type="spellStart"/>
            <w:r w:rsidRPr="000D71EF">
              <w:t>Private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Europa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Publishing</w:t>
            </w:r>
            <w:proofErr w:type="spellEnd"/>
            <w:r w:rsidRPr="000D71EF">
              <w:t>, 2012, ISBN 9789089521088</w:t>
            </w:r>
          </w:p>
          <w:p w:rsidR="00486C70" w:rsidRPr="000D71EF" w:rsidRDefault="00486C70" w:rsidP="00AA69D4">
            <w:pPr>
              <w:autoSpaceDE w:val="0"/>
              <w:autoSpaceDN w:val="0"/>
              <w:adjustRightInd w:val="0"/>
            </w:pP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lastRenderedPageBreak/>
              <w:t>Jazyk, ktorého znalosť je potrebná na absolvovanie predmetu:</w:t>
            </w:r>
            <w:r w:rsidRPr="000D71EF">
              <w:t xml:space="preserve"> anglický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jc w:val="both"/>
            </w:pPr>
            <w:r w:rsidRPr="000D71EF">
              <w:rPr>
                <w:b/>
              </w:rPr>
              <w:t>Poznámky:</w:t>
            </w:r>
            <w:r w:rsidRPr="000D71EF">
              <w:t xml:space="preserve">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rPr>
                <w:b/>
              </w:rPr>
            </w:pPr>
            <w:r w:rsidRPr="000D71EF">
              <w:rPr>
                <w:b/>
              </w:rPr>
              <w:t>Hodnotenie predmetov</w:t>
            </w:r>
          </w:p>
          <w:p w:rsidR="00486C70" w:rsidRPr="000D71EF" w:rsidRDefault="00486C70" w:rsidP="00AA69D4">
            <w:r w:rsidRPr="000D71EF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86C70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486C70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</w:tr>
          </w:tbl>
          <w:p w:rsidR="00486C70" w:rsidRPr="000D71EF" w:rsidRDefault="00486C70" w:rsidP="00AA69D4"/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0D71EF">
              <w:rPr>
                <w:b/>
              </w:rPr>
              <w:t>Vyučujúci:</w:t>
            </w:r>
            <w:r w:rsidRPr="000D71EF">
              <w:t xml:space="preserve"> </w:t>
            </w:r>
          </w:p>
          <w:p w:rsidR="00486C70" w:rsidRPr="000D71EF" w:rsidRDefault="00486C70" w:rsidP="00486C70">
            <w:pPr>
              <w:tabs>
                <w:tab w:val="left" w:pos="1530"/>
              </w:tabs>
            </w:pPr>
            <w:r w:rsidRPr="000D71EF">
              <w:t xml:space="preserve">JUDr. Miroslava </w:t>
            </w:r>
            <w:proofErr w:type="spellStart"/>
            <w:r w:rsidRPr="000D71EF">
              <w:t>Vozáryová</w:t>
            </w:r>
            <w:proofErr w:type="spellEnd"/>
            <w:r w:rsidRPr="000D71EF">
              <w:t xml:space="preserve">, PhD., JUDr. Katarína </w:t>
            </w:r>
            <w:proofErr w:type="spellStart"/>
            <w:r w:rsidRPr="000D71EF">
              <w:t>Burdová</w:t>
            </w:r>
            <w:proofErr w:type="spellEnd"/>
            <w:r w:rsidRPr="000D71EF">
              <w:t xml:space="preserve"> a </w:t>
            </w:r>
            <w:proofErr w:type="spellStart"/>
            <w:r w:rsidRPr="000D71EF">
              <w:t>další</w:t>
            </w:r>
            <w:proofErr w:type="spellEnd"/>
            <w:r w:rsidRPr="000D71EF">
              <w:t xml:space="preserve"> členovia </w:t>
            </w:r>
            <w:proofErr w:type="spellStart"/>
            <w:r w:rsidRPr="000D71EF">
              <w:t>KMPaMV</w:t>
            </w:r>
            <w:proofErr w:type="spellEnd"/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Dátum poslednej zmeny:</w:t>
            </w:r>
            <w:r w:rsidRPr="000D71EF">
              <w:t xml:space="preserve">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Schválil:</w:t>
            </w:r>
            <w:r w:rsidRPr="000D71EF">
              <w:t xml:space="preserve"> </w:t>
            </w:r>
          </w:p>
        </w:tc>
      </w:tr>
    </w:tbl>
    <w:p w:rsidR="00486C70" w:rsidRPr="000D71EF" w:rsidRDefault="00486C70" w:rsidP="00486C70">
      <w:pPr>
        <w:ind w:left="720"/>
        <w:jc w:val="both"/>
      </w:pPr>
    </w:p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DE4B85" w:rsidRPr="000D71EF" w:rsidRDefault="00DE4B85" w:rsidP="00DE4B85"/>
    <w:p w:rsidR="00486C70" w:rsidRPr="000D71EF" w:rsidRDefault="00486C70" w:rsidP="00DE4B85"/>
    <w:p w:rsidR="00486C70" w:rsidRPr="000D71EF" w:rsidRDefault="00486C70" w:rsidP="00DE4B85"/>
    <w:p w:rsidR="00486C70" w:rsidRPr="000D71EF" w:rsidRDefault="00486C70" w:rsidP="00DE4B85"/>
    <w:p w:rsidR="00486C70" w:rsidRPr="000D71EF" w:rsidRDefault="00486C70" w:rsidP="00DE4B85"/>
    <w:p w:rsidR="00486C70" w:rsidRPr="000D71EF" w:rsidRDefault="00486C70" w:rsidP="00DE4B85"/>
    <w:p w:rsidR="00486C70" w:rsidRPr="000D71EF" w:rsidRDefault="00486C70" w:rsidP="00DE4B85"/>
    <w:p w:rsidR="004E68EA" w:rsidRPr="000D71EF" w:rsidRDefault="004E68EA" w:rsidP="00DE4B85"/>
    <w:p w:rsidR="00FE16DA" w:rsidRPr="000D71EF" w:rsidRDefault="00FE16DA" w:rsidP="00DE4B85"/>
    <w:p w:rsidR="00486C70" w:rsidRPr="000D71EF" w:rsidRDefault="00486C70" w:rsidP="00DE4B85"/>
    <w:p w:rsidR="006F0472" w:rsidRPr="000D71EF" w:rsidRDefault="006F0472" w:rsidP="00486C70">
      <w:pPr>
        <w:ind w:left="720"/>
        <w:jc w:val="right"/>
      </w:pPr>
    </w:p>
    <w:p w:rsidR="006F0472" w:rsidRPr="000D71EF" w:rsidRDefault="006F0472" w:rsidP="00486C70">
      <w:pPr>
        <w:ind w:left="720"/>
        <w:jc w:val="right"/>
      </w:pPr>
    </w:p>
    <w:p w:rsidR="004D5FCB" w:rsidRPr="000D71EF" w:rsidRDefault="004D5FCB" w:rsidP="00486C70">
      <w:pPr>
        <w:ind w:left="720"/>
        <w:jc w:val="right"/>
      </w:pPr>
    </w:p>
    <w:p w:rsidR="004D5FCB" w:rsidRPr="000D71EF" w:rsidRDefault="004D5FCB" w:rsidP="00486C70">
      <w:pPr>
        <w:ind w:left="720"/>
        <w:jc w:val="right"/>
      </w:pPr>
    </w:p>
    <w:p w:rsidR="00486C70" w:rsidRPr="000D71EF" w:rsidRDefault="00486C70" w:rsidP="00486C70">
      <w:pPr>
        <w:ind w:left="720"/>
        <w:jc w:val="right"/>
      </w:pPr>
      <w:r w:rsidRPr="000D71EF">
        <w:lastRenderedPageBreak/>
        <w:t>Informačný list predmetu</w:t>
      </w: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Vysoká škola:</w:t>
            </w:r>
            <w:r w:rsidRPr="000D71EF">
              <w:t xml:space="preserve"> Univerzita Komenského v Bratislave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Fakulta:</w:t>
            </w:r>
            <w:r w:rsidRPr="000D71EF">
              <w:t xml:space="preserve"> Právnická fakulta</w:t>
            </w:r>
          </w:p>
        </w:tc>
      </w:tr>
      <w:tr w:rsidR="00486C70" w:rsidRPr="000D71EF" w:rsidTr="00AA69D4">
        <w:tc>
          <w:tcPr>
            <w:tcW w:w="4110" w:type="dxa"/>
          </w:tcPr>
          <w:p w:rsidR="00486C70" w:rsidRPr="000D71EF" w:rsidRDefault="00486C70" w:rsidP="00AA69D4">
            <w:r w:rsidRPr="000D71EF">
              <w:rPr>
                <w:b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5212" w:type="dxa"/>
          </w:tcPr>
          <w:p w:rsidR="00486C70" w:rsidRPr="000D71EF" w:rsidRDefault="00486C70" w:rsidP="00AA69D4">
            <w:pPr>
              <w:rPr>
                <w:b/>
              </w:rPr>
            </w:pPr>
            <w:r w:rsidRPr="000D71EF">
              <w:rPr>
                <w:b/>
              </w:rPr>
              <w:t xml:space="preserve">Názov predmetu: </w:t>
            </w:r>
            <w:r w:rsidRPr="000D71EF">
              <w:rPr>
                <w:i/>
              </w:rPr>
              <w:t>Interpretácia a argumentácia v právnej praxi</w:t>
            </w:r>
          </w:p>
        </w:tc>
      </w:tr>
      <w:tr w:rsidR="00486C70" w:rsidRPr="000D71EF" w:rsidTr="00AA69D4">
        <w:trPr>
          <w:trHeight w:val="1110"/>
        </w:trPr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Druh, rozsah a metóda vzdelávacích činností:</w:t>
            </w:r>
            <w:r w:rsidRPr="000D71EF">
              <w:t xml:space="preserve"> </w:t>
            </w:r>
          </w:p>
          <w:p w:rsidR="00486C70" w:rsidRPr="000D71EF" w:rsidRDefault="00486C70" w:rsidP="006F0472">
            <w:pPr>
              <w:widowControl w:val="0"/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iCs/>
              </w:rPr>
              <w:t>Denná forma štúdia: 3 h</w:t>
            </w:r>
            <w:r w:rsidR="005D0D82" w:rsidRPr="000D71EF">
              <w:rPr>
                <w:iCs/>
              </w:rPr>
              <w:t xml:space="preserve">odiny seminárov týždenne, spolu </w:t>
            </w:r>
            <w:r w:rsidRPr="000D71EF">
              <w:rPr>
                <w:iCs/>
              </w:rPr>
              <w:t>42 hodí</w:t>
            </w:r>
            <w:r w:rsidR="006F0472" w:rsidRPr="000D71EF">
              <w:rPr>
                <w:iCs/>
              </w:rPr>
              <w:t>n za semester, prezenčná metóda</w:t>
            </w:r>
          </w:p>
        </w:tc>
      </w:tr>
      <w:tr w:rsidR="00486C70" w:rsidRPr="000D71EF" w:rsidTr="00AA69D4">
        <w:trPr>
          <w:trHeight w:val="286"/>
        </w:trPr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Počet kreditov:</w:t>
            </w:r>
            <w:r w:rsidRPr="000D71EF">
              <w:t xml:space="preserve"> 3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Odporúčaný semester štúdia:</w:t>
            </w:r>
            <w:r w:rsidRPr="000D71EF">
              <w:t xml:space="preserve"> 1. semester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Stupeň štúdia:</w:t>
            </w:r>
            <w:r w:rsidRPr="000D71EF">
              <w:t xml:space="preserve"> 2.</w:t>
            </w:r>
            <w:r w:rsidR="002B4446" w:rsidRPr="000D71EF">
              <w:t xml:space="preserve"> stupeň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Podmieňujúce predmety:</w:t>
            </w:r>
            <w:r w:rsidRPr="000D71EF">
              <w:t xml:space="preserve">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rPr>
                <w:b/>
              </w:rPr>
            </w:pPr>
            <w:r w:rsidRPr="000D71EF">
              <w:rPr>
                <w:b/>
              </w:rPr>
              <w:t xml:space="preserve">Podmienky na absolvovanie predmetu: </w:t>
            </w:r>
          </w:p>
          <w:p w:rsidR="00486C70" w:rsidRPr="000D71EF" w:rsidRDefault="00486C70" w:rsidP="00AA69D4">
            <w:r w:rsidRPr="000D71EF">
              <w:t>Priebežné hodnotenie</w:t>
            </w:r>
            <w:r w:rsidR="006F0472" w:rsidRPr="000D71EF">
              <w:t xml:space="preserve">: </w:t>
            </w:r>
            <w:r w:rsidRPr="000D71EF">
              <w:t>aktívna účasť na seminároch, seminárna práca – 50 % hodnotenia</w:t>
            </w:r>
            <w:r w:rsidR="006F0472" w:rsidRPr="000D71EF">
              <w:t xml:space="preserve">, </w:t>
            </w:r>
            <w:r w:rsidRPr="000D71EF">
              <w:t>ústna prezentácia seminárnej práce – 50% hodnotenia</w:t>
            </w:r>
          </w:p>
          <w:p w:rsidR="006F0472" w:rsidRPr="000D71EF" w:rsidRDefault="006F0472" w:rsidP="00AA69D4">
            <w:r w:rsidRPr="000D71EF">
              <w:t xml:space="preserve">Klasifikačná stupnica: A/1 = 91 – 100 %; B/1,5 = 81 – 90 %; C/2 = 73 – 80 %; D/2,5 = 66 – 72 %; E/3 = 61 – 65 %; FX = 0 – 60 %. 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Výsledky vzdelávania:</w:t>
            </w:r>
            <w:r w:rsidRPr="000D71EF">
              <w:t xml:space="preserve"> </w:t>
            </w:r>
          </w:p>
          <w:p w:rsidR="00486C70" w:rsidRPr="000D71EF" w:rsidRDefault="00486C70" w:rsidP="00AA69D4">
            <w:pPr>
              <w:jc w:val="both"/>
            </w:pPr>
            <w:r w:rsidRPr="000D71EF">
              <w:t>Predmet má poskytnúť študentom komplexný prehľad a porozumenie základným metódam argumentácie a interpretácie v práve, schopnosť korektného využitia rôznych argumentačných a interpretačných metód v praxi. Absolvovaním predmetu študenti si osvoja základné metódy a postupy odborného písania (štruktúra textu...) a základné písomné právne úkony v cudzom jazyku (zmluva, žaloba). Študenti absolvovaním predmetu si prehĺbia schopnosť efektívnej rešerše a vyhľadávania v informačných zdrojoch s dôrazom na ich moderné formy a schopnosť verbálnej prezentácie svojich názorov, pripravených stanovísk a textov a schopnosť reakcie na námietky v rámci diskusie.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Stručná osnova predmetu:</w:t>
            </w:r>
            <w:r w:rsidRPr="000D71EF">
              <w:t xml:space="preserve"> 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 xml:space="preserve">Úvod do problematiky interpretácie a argumentácie v práve 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 xml:space="preserve">Právny jazyk a interpretácia 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 xml:space="preserve">Metódy interpretácie I.: </w:t>
            </w:r>
            <w:proofErr w:type="spellStart"/>
            <w:r w:rsidRPr="000D71EF">
              <w:t>Eurokonformný</w:t>
            </w:r>
            <w:proofErr w:type="spellEnd"/>
            <w:r w:rsidRPr="000D71EF">
              <w:t xml:space="preserve"> výklad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 xml:space="preserve">Metódy interpretácie II.: </w:t>
            </w:r>
            <w:proofErr w:type="spellStart"/>
            <w:r w:rsidRPr="000D71EF">
              <w:t>Ústavnokonformný</w:t>
            </w:r>
            <w:proofErr w:type="spellEnd"/>
            <w:r w:rsidRPr="000D71EF">
              <w:t xml:space="preserve"> výklad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>Metódy aplikácie predchádzajúcich súdnych rozhodnutí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>Vybrané aspekty právnej argumentácie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 xml:space="preserve">Úvod do metodológie písania právnych textov 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>Právny jazyk a písaný text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>Právna rešerš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>Písanie právnych textov v praxi I.: Právna analýza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>Písanie právnych textov v praxi II.: Návrh zmluvy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 xml:space="preserve">Písanie právnych textov v praxi III.: Žaloba </w:t>
            </w:r>
          </w:p>
          <w:p w:rsidR="00596B1C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>Záverečné prezentácie študentov I.</w:t>
            </w:r>
          </w:p>
          <w:p w:rsidR="00486C70" w:rsidRPr="000D71EF" w:rsidRDefault="00486C70" w:rsidP="00596B1C">
            <w:pPr>
              <w:pStyle w:val="ListParagraph"/>
              <w:numPr>
                <w:ilvl w:val="0"/>
                <w:numId w:val="43"/>
              </w:numPr>
              <w:ind w:left="426" w:hanging="426"/>
              <w:jc w:val="both"/>
            </w:pPr>
            <w:r w:rsidRPr="000D71EF">
              <w:t>Záverečné prezentácie študentov II.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Odporúčaná literatúra:</w:t>
            </w:r>
            <w:r w:rsidRPr="000D71EF">
              <w:t xml:space="preserve"> </w:t>
            </w:r>
          </w:p>
          <w:p w:rsidR="00486C70" w:rsidRPr="000D71EF" w:rsidRDefault="00486C70" w:rsidP="00AA69D4">
            <w:pPr>
              <w:autoSpaceDE w:val="0"/>
              <w:autoSpaceDN w:val="0"/>
              <w:adjustRightInd w:val="0"/>
            </w:pPr>
            <w:r w:rsidRPr="000D71EF">
              <w:t xml:space="preserve">ALEXY, R.: A </w:t>
            </w:r>
            <w:proofErr w:type="spellStart"/>
            <w:r w:rsidRPr="000D71EF">
              <w:t>Theory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Legal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Argumentation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Theory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Rational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Discourse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as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Theory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Legal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Justification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2010, 352 s. ISBN 978-0199584222.</w:t>
            </w:r>
          </w:p>
          <w:p w:rsidR="00486C70" w:rsidRPr="000D71EF" w:rsidRDefault="00486C70" w:rsidP="00AA69D4">
            <w:pPr>
              <w:autoSpaceDE w:val="0"/>
              <w:autoSpaceDN w:val="0"/>
              <w:adjustRightInd w:val="0"/>
            </w:pPr>
            <w:r w:rsidRPr="000D71EF">
              <w:t xml:space="preserve">ARASZKIEWICZ, M. </w:t>
            </w:r>
            <w:proofErr w:type="spellStart"/>
            <w:r w:rsidRPr="000D71EF">
              <w:t>et</w:t>
            </w:r>
            <w:proofErr w:type="spellEnd"/>
            <w:r w:rsidRPr="000D71EF">
              <w:t xml:space="preserve"> al. (</w:t>
            </w:r>
            <w:proofErr w:type="spellStart"/>
            <w:r w:rsidRPr="000D71EF">
              <w:t>eds</w:t>
            </w:r>
            <w:proofErr w:type="spellEnd"/>
            <w:r w:rsidRPr="000D71EF">
              <w:t xml:space="preserve">.): </w:t>
            </w:r>
            <w:proofErr w:type="spellStart"/>
            <w:r w:rsidRPr="000D71EF">
              <w:t>Argumentation</w:t>
            </w:r>
            <w:proofErr w:type="spellEnd"/>
            <w:r w:rsidRPr="000D71EF">
              <w:t xml:space="preserve"> 2011 (</w:t>
            </w:r>
            <w:proofErr w:type="spellStart"/>
            <w:r w:rsidRPr="000D71EF">
              <w:t>conference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proceedings</w:t>
            </w:r>
            <w:proofErr w:type="spellEnd"/>
            <w:r w:rsidRPr="000D71EF">
              <w:t xml:space="preserve">). Brno : </w:t>
            </w:r>
            <w:proofErr w:type="spellStart"/>
            <w:r w:rsidRPr="000D71EF">
              <w:t>Muni</w:t>
            </w:r>
            <w:proofErr w:type="spellEnd"/>
            <w:r w:rsidRPr="000D71EF">
              <w:t xml:space="preserve"> Press, 2011, 196 s. ISBN 978-80-210-5579-7.</w:t>
            </w:r>
          </w:p>
          <w:p w:rsidR="00486C70" w:rsidRPr="000D71EF" w:rsidRDefault="00486C70" w:rsidP="00AA69D4">
            <w:pPr>
              <w:autoSpaceDE w:val="0"/>
              <w:autoSpaceDN w:val="0"/>
              <w:adjustRightInd w:val="0"/>
            </w:pPr>
            <w:r w:rsidRPr="000D71EF">
              <w:t xml:space="preserve">ARASZKIEWICZ, M. </w:t>
            </w:r>
            <w:proofErr w:type="spellStart"/>
            <w:r w:rsidRPr="000D71EF">
              <w:t>et</w:t>
            </w:r>
            <w:proofErr w:type="spellEnd"/>
            <w:r w:rsidRPr="000D71EF">
              <w:t xml:space="preserve"> al. (</w:t>
            </w:r>
            <w:proofErr w:type="spellStart"/>
            <w:r w:rsidRPr="000D71EF">
              <w:t>eds</w:t>
            </w:r>
            <w:proofErr w:type="spellEnd"/>
            <w:r w:rsidRPr="000D71EF">
              <w:t xml:space="preserve">.): </w:t>
            </w:r>
            <w:proofErr w:type="spellStart"/>
            <w:r w:rsidRPr="000D71EF">
              <w:t>Argumentation</w:t>
            </w:r>
            <w:proofErr w:type="spellEnd"/>
            <w:r w:rsidRPr="000D71EF">
              <w:t xml:space="preserve"> 2012 (</w:t>
            </w:r>
            <w:proofErr w:type="spellStart"/>
            <w:r w:rsidRPr="000D71EF">
              <w:t>conference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proceedings</w:t>
            </w:r>
            <w:proofErr w:type="spellEnd"/>
            <w:r w:rsidRPr="000D71EF">
              <w:t xml:space="preserve">). Brno : </w:t>
            </w:r>
            <w:proofErr w:type="spellStart"/>
            <w:r w:rsidRPr="000D71EF">
              <w:lastRenderedPageBreak/>
              <w:t>Muni</w:t>
            </w:r>
            <w:proofErr w:type="spellEnd"/>
            <w:r w:rsidRPr="000D71EF">
              <w:t xml:space="preserve"> Press, 2012, 141 s. ISBN 978-80-210-5948-1.</w:t>
            </w:r>
          </w:p>
          <w:p w:rsidR="00486C70" w:rsidRPr="000D71EF" w:rsidRDefault="00486C70" w:rsidP="00AA69D4">
            <w:pPr>
              <w:jc w:val="both"/>
            </w:pPr>
            <w:r w:rsidRPr="000D71EF">
              <w:t xml:space="preserve">BOBEK, M.: </w:t>
            </w:r>
            <w:proofErr w:type="spellStart"/>
            <w:r w:rsidRPr="000D71EF">
              <w:t>Comparative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Reasoning</w:t>
            </w:r>
            <w:proofErr w:type="spellEnd"/>
            <w:r w:rsidRPr="000D71EF">
              <w:t xml:space="preserve"> in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Supreme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Courts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2013, 310 s. ISBN 978-0-19-968038-2.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lastRenderedPageBreak/>
              <w:t>Jazyk, ktorého znalosť je potrebná na absolvovanie predmetu:</w:t>
            </w:r>
            <w:r w:rsidRPr="000D71EF">
              <w:t xml:space="preserve"> anglický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jc w:val="both"/>
            </w:pPr>
            <w:r w:rsidRPr="000D71EF">
              <w:rPr>
                <w:b/>
              </w:rPr>
              <w:t>Poznámky:</w:t>
            </w:r>
            <w:r w:rsidRPr="000D71EF">
              <w:t xml:space="preserve">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rPr>
                <w:b/>
              </w:rPr>
            </w:pPr>
            <w:r w:rsidRPr="000D71EF">
              <w:rPr>
                <w:b/>
              </w:rPr>
              <w:t>Hodnotenie predmetov</w:t>
            </w:r>
          </w:p>
          <w:p w:rsidR="00486C70" w:rsidRPr="000D71EF" w:rsidRDefault="00486C70" w:rsidP="00AA69D4">
            <w:r w:rsidRPr="000D71EF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86C70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486C70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</w:tr>
          </w:tbl>
          <w:p w:rsidR="00486C70" w:rsidRPr="000D71EF" w:rsidRDefault="00486C70" w:rsidP="00AA69D4"/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0D71EF">
              <w:rPr>
                <w:b/>
              </w:rPr>
              <w:t>Vyučujúci:</w:t>
            </w:r>
            <w:r w:rsidRPr="000D71EF">
              <w:t xml:space="preserve"> </w:t>
            </w:r>
          </w:p>
          <w:p w:rsidR="00486C70" w:rsidRPr="000D71EF" w:rsidRDefault="00486C70" w:rsidP="00486C70">
            <w:pPr>
              <w:tabs>
                <w:tab w:val="left" w:pos="1530"/>
              </w:tabs>
            </w:pPr>
            <w:r w:rsidRPr="000D71EF">
              <w:t xml:space="preserve">JUDr. Mgr. Michal Mrva, LL.M, PhD., JUDr. Martin Turčan, PhD. a ďalší </w:t>
            </w:r>
            <w:proofErr w:type="spellStart"/>
            <w:r w:rsidRPr="000D71EF">
              <w:t>KTPaSV</w:t>
            </w:r>
            <w:proofErr w:type="spellEnd"/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Dátum poslednej zmeny:</w:t>
            </w:r>
            <w:r w:rsidRPr="000D71EF">
              <w:t xml:space="preserve">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Schválil:</w:t>
            </w:r>
            <w:r w:rsidRPr="000D71EF">
              <w:t xml:space="preserve"> </w:t>
            </w:r>
          </w:p>
        </w:tc>
      </w:tr>
    </w:tbl>
    <w:p w:rsidR="00486C70" w:rsidRPr="000D71EF" w:rsidRDefault="00486C70" w:rsidP="00486C70">
      <w:pPr>
        <w:ind w:left="720"/>
        <w:jc w:val="both"/>
      </w:pPr>
    </w:p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DE4B85"/>
    <w:p w:rsidR="00FE16DA" w:rsidRPr="000D71EF" w:rsidRDefault="00FE16DA" w:rsidP="00DE4B85"/>
    <w:p w:rsidR="00486C70" w:rsidRPr="000D71EF" w:rsidRDefault="00486C70" w:rsidP="00DE4B85"/>
    <w:p w:rsidR="00486C70" w:rsidRPr="000D71EF" w:rsidRDefault="00486C70" w:rsidP="00DE4B85"/>
    <w:p w:rsidR="004D5FCB" w:rsidRPr="000D71EF" w:rsidRDefault="004D5FCB" w:rsidP="00486C70">
      <w:pPr>
        <w:ind w:left="720"/>
        <w:jc w:val="right"/>
      </w:pPr>
    </w:p>
    <w:p w:rsidR="004D5FCB" w:rsidRPr="000D71EF" w:rsidRDefault="004D5FCB" w:rsidP="00486C70">
      <w:pPr>
        <w:ind w:left="720"/>
        <w:jc w:val="right"/>
      </w:pPr>
    </w:p>
    <w:p w:rsidR="00486C70" w:rsidRPr="000D71EF" w:rsidRDefault="00486C70" w:rsidP="00486C70">
      <w:pPr>
        <w:ind w:left="720"/>
        <w:jc w:val="right"/>
      </w:pPr>
      <w:r w:rsidRPr="000D71EF">
        <w:lastRenderedPageBreak/>
        <w:t>Informačný list predmetu</w:t>
      </w: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Vysoká škola:</w:t>
            </w:r>
            <w:r w:rsidRPr="000D71EF">
              <w:t xml:space="preserve"> Univerzita Komenského v Bratislave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Fakulta:</w:t>
            </w:r>
            <w:r w:rsidRPr="000D71EF">
              <w:t xml:space="preserve"> Právnická fakulta</w:t>
            </w:r>
          </w:p>
        </w:tc>
      </w:tr>
      <w:tr w:rsidR="00486C70" w:rsidRPr="000D71EF" w:rsidTr="00AA69D4">
        <w:tc>
          <w:tcPr>
            <w:tcW w:w="4110" w:type="dxa"/>
          </w:tcPr>
          <w:p w:rsidR="00486C70" w:rsidRPr="000D71EF" w:rsidRDefault="00486C70" w:rsidP="00AA69D4">
            <w:r w:rsidRPr="000D71EF">
              <w:rPr>
                <w:b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5212" w:type="dxa"/>
          </w:tcPr>
          <w:p w:rsidR="00486C70" w:rsidRPr="000D71EF" w:rsidRDefault="00486C70" w:rsidP="00AA69D4">
            <w:pPr>
              <w:rPr>
                <w:b/>
              </w:rPr>
            </w:pPr>
            <w:r w:rsidRPr="000D71EF">
              <w:rPr>
                <w:b/>
              </w:rPr>
              <w:t xml:space="preserve">Názov predmetu: </w:t>
            </w:r>
            <w:r w:rsidRPr="000D71EF">
              <w:rPr>
                <w:i/>
              </w:rPr>
              <w:t>Ľudské práva</w:t>
            </w:r>
          </w:p>
        </w:tc>
      </w:tr>
      <w:tr w:rsidR="00486C70" w:rsidRPr="000D71EF" w:rsidTr="00AA69D4">
        <w:trPr>
          <w:trHeight w:val="1110"/>
        </w:trPr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Druh, rozsah a metóda vzdelávacích činností:</w:t>
            </w:r>
            <w:r w:rsidRPr="000D71EF">
              <w:t xml:space="preserve"> </w:t>
            </w:r>
          </w:p>
          <w:p w:rsidR="00486C70" w:rsidRPr="000D71EF" w:rsidRDefault="00486C70" w:rsidP="008F61A4">
            <w:pPr>
              <w:contextualSpacing/>
            </w:pPr>
            <w:r w:rsidRPr="000D71EF">
              <w:rPr>
                <w:iCs/>
              </w:rPr>
              <w:t>Denná forma štúdia: 2 hodiny prednášok a 2 hodiny seminárov týždenne, spolu 56 hodín za semester, prezenčná metóda</w:t>
            </w:r>
          </w:p>
        </w:tc>
      </w:tr>
      <w:tr w:rsidR="00486C70" w:rsidRPr="000D71EF" w:rsidTr="00AA69D4">
        <w:trPr>
          <w:trHeight w:val="286"/>
        </w:trPr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Počet kreditov:</w:t>
            </w:r>
            <w:r w:rsidRPr="000D71EF">
              <w:t xml:space="preserve"> 4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Odporúčaný semester štúdia:</w:t>
            </w:r>
            <w:r w:rsidRPr="000D71EF">
              <w:t xml:space="preserve"> 1. semester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Stupeň štúdia:</w:t>
            </w:r>
            <w:r w:rsidR="00D60334" w:rsidRPr="000D71EF">
              <w:t xml:space="preserve"> 2. stupeň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Podmieňujúce predmety:</w:t>
            </w:r>
            <w:r w:rsidRPr="000D71EF">
              <w:t xml:space="preserve">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rPr>
                <w:b/>
              </w:rPr>
            </w:pPr>
            <w:r w:rsidRPr="000D71EF">
              <w:rPr>
                <w:b/>
              </w:rPr>
              <w:t xml:space="preserve">Podmienky na absolvovanie predmetu: </w:t>
            </w:r>
          </w:p>
          <w:p w:rsidR="008F61A4" w:rsidRPr="000D71EF" w:rsidRDefault="008F61A4" w:rsidP="008F61A4">
            <w:r w:rsidRPr="000D71EF">
              <w:t>Priebežné hodnotenie: písomná práca, aktivita na seminároch a priebežné vypracovávanie písomných zadaní (20%)</w:t>
            </w:r>
          </w:p>
          <w:p w:rsidR="008F61A4" w:rsidRPr="000D71EF" w:rsidRDefault="00281600" w:rsidP="008F61A4">
            <w:r w:rsidRPr="000D71EF">
              <w:t>Z</w:t>
            </w:r>
            <w:r w:rsidR="008F61A4" w:rsidRPr="000D71EF">
              <w:t>áverečné hodnotenie: písomná skúška – teoretické otázky a praktický príklad</w:t>
            </w:r>
            <w:r w:rsidR="008F61A4" w:rsidRPr="000D71EF">
              <w:rPr>
                <w:iCs/>
              </w:rPr>
              <w:t xml:space="preserve">  (80%)</w:t>
            </w:r>
          </w:p>
          <w:p w:rsidR="00486C70" w:rsidRPr="000D71EF" w:rsidRDefault="008F61A4" w:rsidP="008F61A4">
            <w:r w:rsidRPr="000D71EF">
              <w:t xml:space="preserve">Klasifikačná stupnica: A/1 = 91 – 100 %; B/1,5 = 81 – 90 %; C/2 = 73 – 80 %; D/2,5 = 66 – 72 %; E/3 = 61 – 65 %; FX = 0 – 60 %. 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Výsledky vzdelávania:</w:t>
            </w:r>
            <w:r w:rsidRPr="000D71EF">
              <w:t xml:space="preserve"> </w:t>
            </w:r>
          </w:p>
          <w:p w:rsidR="00486C70" w:rsidRPr="000D71EF" w:rsidRDefault="008F61A4" w:rsidP="00AA69D4">
            <w:pPr>
              <w:jc w:val="both"/>
            </w:pPr>
            <w:r w:rsidRPr="000D71EF">
              <w:rPr>
                <w:iCs/>
              </w:rPr>
              <w:t>Výučba tohto predmetu je zameraná na problematiku ľudských práv a slobôd s dôrazom na európsky rozmer ochrany týchto hodnôt. Študent po úspešnom absolvovaní tohto predmetu pochopí význam a dôležitosť osobných a politických práv, mechanizmus ich aplikácie ako aj obmedzovania. Zároveň sa zoznámi s princípmi a pravidlami konania pred ESĽP a Výborom OSN pre ľudské práva ako aj najnovšou judikatúrou ESĽP v tejto oblasti. Zároveň študent bude schopný argumentačne pripraviť a analyzovať právny problém cez prizmu ľudských práv a slobôd.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Stručná osnova predmetu:</w:t>
            </w:r>
            <w:r w:rsidRPr="000D71EF">
              <w:t xml:space="preserve"> 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Teoretický základ ľudských práv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 xml:space="preserve">čo sú ľudské práva a slobody, ich význam, charakteristika a rozdelenie, ľudská dôstojnosť, obmedzovanie a interpretácia práv a slobôd, národný a nadnárodný rozmer ochrany 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Systém ochrany ľudských práv rámci OSN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Pakt o občianskych a politických právach, Pakt o hospodárskych, sociálnych a kultúrnych právach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 xml:space="preserve">mechanizmus ochrany, inštitúcie a základné princípy konania 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Európsky dohovor o ochrane ľudských práv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charakteristika a vývoj, základné princípy konania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 xml:space="preserve">ESĽP (zloženie, kompetencie), Výbor ministrov (kompetencie) 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Právo na život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materiálna a procesná povaha práva na život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“absolútna nevyhnutnosť”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Zákaz mučenia, ponižujúceho zaobchádzania a trestania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povaha práva, jednotlivé elementy čl. 3 Dohovoru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 xml:space="preserve">podmienky väzby, deportácie, vypočúvanie </w:t>
            </w:r>
            <w:proofErr w:type="spellStart"/>
            <w:r w:rsidRPr="000D71EF">
              <w:t>ai</w:t>
            </w:r>
            <w:proofErr w:type="spellEnd"/>
            <w:r w:rsidRPr="000D71EF">
              <w:t>. praktické aspekty čl. 3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Sloboda a bezpečnosť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prezumpcie a požiadavky podľa judikatúry ESĽP vo vzťahu k slobode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lastRenderedPageBreak/>
              <w:t>materiálna a procesná rovina čl. 5 Dohovoru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Právo na spravodlivý súdny proces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povaha práva na spravodlivý súdny proces, rozsah aplikácie, nezávislosť a nestrannosť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 xml:space="preserve">občianskoprávna a trestnoprávna rovina 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 xml:space="preserve">Právo na súkromný a rodinný život 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 xml:space="preserve">koncept práva na súkromie a rodinný život 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evolúcia tohto práva, rozsah aplikácie na konkrétne situácie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Sloboda myslenia, svedomia a náboženského vierovyznania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 xml:space="preserve">povaha práva, aké vierovyznanie, aké oblečenie, </w:t>
            </w:r>
            <w:proofErr w:type="spellStart"/>
            <w:r w:rsidRPr="000D71EF">
              <w:t>prozelytizmus</w:t>
            </w:r>
            <w:proofErr w:type="spellEnd"/>
            <w:r w:rsidRPr="000D71EF">
              <w:t xml:space="preserve"> 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neutrálny štát, vzťah štátu a náboženstva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Sloboda prejavu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význam práva, druhy prejavu, obsah a osoby, na ktoré sa prejav vzťahuje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zodpovednosť a obmedzenie práva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proofErr w:type="spellStart"/>
            <w:r w:rsidRPr="000D71EF">
              <w:t>Zhromažďovacie</w:t>
            </w:r>
            <w:proofErr w:type="spellEnd"/>
            <w:r w:rsidRPr="000D71EF">
              <w:t xml:space="preserve"> a združovacie právo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obsah oboch práv, pokojné a spontánne zhromaždenia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združenia, odbory a politické strany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Zákaz diskriminácie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povaha zákazu diskriminácie podľa Dohovoru, odlišné zaobchádzanie a jednotlivé druhy diskriminácie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aplikačné aspekty zákazu diskriminácie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Vlastnícke právo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obsah a význam vlastníckeho práva, tri pravidlá ochrany vlastníckeho práva podľa Dohovoru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obmedzenie vlastníckeho práva a vyvlastnenie</w:t>
            </w:r>
          </w:p>
          <w:p w:rsidR="008F61A4" w:rsidRPr="000D71EF" w:rsidRDefault="008F61A4" w:rsidP="00596B1C">
            <w:pPr>
              <w:pStyle w:val="ListParagraph"/>
              <w:numPr>
                <w:ilvl w:val="0"/>
                <w:numId w:val="37"/>
              </w:numPr>
              <w:spacing w:after="160" w:line="256" w:lineRule="auto"/>
              <w:ind w:left="426" w:hanging="426"/>
            </w:pPr>
            <w:r w:rsidRPr="000D71EF">
              <w:t>Ochrana ľudských práv v Európskej únii</w:t>
            </w:r>
          </w:p>
          <w:p w:rsidR="008F61A4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after="160" w:line="256" w:lineRule="auto"/>
              <w:ind w:left="851" w:hanging="426"/>
            </w:pPr>
            <w:r w:rsidRPr="000D71EF">
              <w:t>judikatúra Súdneho dvora EÚ</w:t>
            </w:r>
          </w:p>
          <w:p w:rsidR="00486C70" w:rsidRPr="000D71EF" w:rsidRDefault="008F61A4" w:rsidP="00596B1C">
            <w:pPr>
              <w:pStyle w:val="ListParagraph"/>
              <w:numPr>
                <w:ilvl w:val="1"/>
                <w:numId w:val="40"/>
              </w:numPr>
              <w:spacing w:line="257" w:lineRule="auto"/>
              <w:ind w:left="850" w:hanging="426"/>
            </w:pPr>
            <w:r w:rsidRPr="000D71EF">
              <w:t>Charta základných práv EÚ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lastRenderedPageBreak/>
              <w:t>Odporúčaná literatúra:</w:t>
            </w:r>
            <w:r w:rsidRPr="000D71EF">
              <w:t xml:space="preserve"> </w:t>
            </w:r>
          </w:p>
          <w:p w:rsidR="008F61A4" w:rsidRPr="000D71EF" w:rsidRDefault="008F61A4" w:rsidP="008F61A4">
            <w:pPr>
              <w:rPr>
                <w:color w:val="000000"/>
                <w:lang w:eastAsia="en-GB"/>
              </w:rPr>
            </w:pPr>
            <w:r w:rsidRPr="000D71EF">
              <w:rPr>
                <w:color w:val="000000"/>
                <w:lang w:eastAsia="en-GB"/>
              </w:rPr>
              <w:t xml:space="preserve">JACOBS, WHITE, OVEY,: </w:t>
            </w:r>
            <w:proofErr w:type="spellStart"/>
            <w:r w:rsidRPr="000D71EF">
              <w:rPr>
                <w:color w:val="000000"/>
                <w:lang w:eastAsia="en-GB"/>
              </w:rPr>
              <w:t>The</w:t>
            </w:r>
            <w:proofErr w:type="spellEnd"/>
            <w:r w:rsidRPr="000D71EF">
              <w:rPr>
                <w:color w:val="000000"/>
                <w:lang w:eastAsia="en-GB"/>
              </w:rPr>
              <w:t xml:space="preserve"> </w:t>
            </w:r>
            <w:proofErr w:type="spellStart"/>
            <w:r w:rsidRPr="000D71EF">
              <w:rPr>
                <w:color w:val="000000"/>
                <w:lang w:eastAsia="en-GB"/>
              </w:rPr>
              <w:t>European</w:t>
            </w:r>
            <w:proofErr w:type="spellEnd"/>
            <w:r w:rsidRPr="000D71EF">
              <w:rPr>
                <w:color w:val="000000"/>
                <w:lang w:eastAsia="en-GB"/>
              </w:rPr>
              <w:t xml:space="preserve"> </w:t>
            </w:r>
            <w:proofErr w:type="spellStart"/>
            <w:r w:rsidRPr="000D71EF">
              <w:rPr>
                <w:color w:val="000000"/>
                <w:lang w:eastAsia="en-GB"/>
              </w:rPr>
              <w:t>Convention</w:t>
            </w:r>
            <w:proofErr w:type="spellEnd"/>
            <w:r w:rsidRPr="000D71EF">
              <w:rPr>
                <w:color w:val="000000"/>
                <w:lang w:eastAsia="en-GB"/>
              </w:rPr>
              <w:t xml:space="preserve"> on </w:t>
            </w:r>
            <w:proofErr w:type="spellStart"/>
            <w:r w:rsidRPr="000D71EF">
              <w:rPr>
                <w:color w:val="000000"/>
                <w:lang w:eastAsia="en-GB"/>
              </w:rPr>
              <w:t>Human</w:t>
            </w:r>
            <w:proofErr w:type="spellEnd"/>
            <w:r w:rsidRPr="000D71EF">
              <w:rPr>
                <w:color w:val="000000"/>
                <w:lang w:eastAsia="en-GB"/>
              </w:rPr>
              <w:t xml:space="preserve"> </w:t>
            </w:r>
            <w:proofErr w:type="spellStart"/>
            <w:r w:rsidRPr="000D71EF">
              <w:rPr>
                <w:color w:val="000000"/>
                <w:lang w:eastAsia="en-GB"/>
              </w:rPr>
              <w:t>Rights</w:t>
            </w:r>
            <w:proofErr w:type="spellEnd"/>
            <w:r w:rsidRPr="000D71EF">
              <w:rPr>
                <w:color w:val="000000"/>
                <w:lang w:eastAsia="en-GB"/>
              </w:rPr>
              <w:t xml:space="preserve">. 6. vydanie. </w:t>
            </w:r>
            <w:proofErr w:type="spellStart"/>
            <w:r w:rsidRPr="000D71EF">
              <w:rPr>
                <w:color w:val="000000"/>
                <w:lang w:eastAsia="en-GB"/>
              </w:rPr>
              <w:t>Oxford</w:t>
            </w:r>
            <w:proofErr w:type="spellEnd"/>
            <w:r w:rsidRPr="000D71EF">
              <w:rPr>
                <w:color w:val="000000"/>
                <w:lang w:eastAsia="en-GB"/>
              </w:rPr>
              <w:t xml:space="preserve">: </w:t>
            </w:r>
            <w:proofErr w:type="spellStart"/>
            <w:r w:rsidRPr="000D71EF">
              <w:rPr>
                <w:color w:val="000000"/>
                <w:lang w:eastAsia="en-GB"/>
              </w:rPr>
              <w:t>Oxford</w:t>
            </w:r>
            <w:proofErr w:type="spellEnd"/>
            <w:r w:rsidRPr="000D71EF">
              <w:rPr>
                <w:color w:val="000000"/>
                <w:lang w:eastAsia="en-GB"/>
              </w:rPr>
              <w:t xml:space="preserve"> </w:t>
            </w:r>
            <w:proofErr w:type="spellStart"/>
            <w:r w:rsidRPr="000D71EF">
              <w:rPr>
                <w:color w:val="000000"/>
                <w:lang w:eastAsia="en-GB"/>
              </w:rPr>
              <w:t>University</w:t>
            </w:r>
            <w:proofErr w:type="spellEnd"/>
            <w:r w:rsidRPr="000D71EF">
              <w:rPr>
                <w:color w:val="000000"/>
                <w:lang w:eastAsia="en-GB"/>
              </w:rPr>
              <w:t xml:space="preserve"> Press, 2014</w:t>
            </w:r>
          </w:p>
          <w:p w:rsidR="008F61A4" w:rsidRPr="000D71EF" w:rsidRDefault="008F61A4" w:rsidP="008F61A4">
            <w:pPr>
              <w:autoSpaceDE w:val="0"/>
              <w:autoSpaceDN w:val="0"/>
              <w:adjustRightInd w:val="0"/>
            </w:pPr>
            <w:r w:rsidRPr="000D71EF">
              <w:t xml:space="preserve">GREER, S.: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Convention</w:t>
            </w:r>
            <w:proofErr w:type="spellEnd"/>
            <w:r w:rsidRPr="000D71EF">
              <w:t xml:space="preserve"> on </w:t>
            </w:r>
            <w:proofErr w:type="spellStart"/>
            <w:r w:rsidRPr="000D71EF">
              <w:t>Human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Rights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Achievments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Problems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Prospects</w:t>
            </w:r>
            <w:proofErr w:type="spellEnd"/>
            <w:r w:rsidRPr="000D71EF">
              <w:t xml:space="preserve">.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2006</w:t>
            </w:r>
          </w:p>
          <w:p w:rsidR="008F61A4" w:rsidRPr="000D71EF" w:rsidRDefault="008F61A4" w:rsidP="008F61A4">
            <w:pPr>
              <w:autoSpaceDE w:val="0"/>
              <w:autoSpaceDN w:val="0"/>
              <w:adjustRightInd w:val="0"/>
            </w:pPr>
            <w:r w:rsidRPr="000D71EF">
              <w:t xml:space="preserve">JANIS, W., M. – KAY, R.,S. – BRADLEY, A.,W.: </w:t>
            </w:r>
            <w:proofErr w:type="spellStart"/>
            <w:r w:rsidRPr="000D71EF">
              <w:rPr>
                <w:bCs/>
              </w:rPr>
              <w:t>European</w:t>
            </w:r>
            <w:proofErr w:type="spellEnd"/>
            <w:r w:rsidRPr="000D71EF">
              <w:rPr>
                <w:bCs/>
              </w:rPr>
              <w:t xml:space="preserve"> </w:t>
            </w:r>
            <w:proofErr w:type="spellStart"/>
            <w:r w:rsidRPr="000D71EF">
              <w:rPr>
                <w:bCs/>
              </w:rPr>
              <w:t>Human</w:t>
            </w:r>
            <w:proofErr w:type="spellEnd"/>
            <w:r w:rsidRPr="000D71EF">
              <w:rPr>
                <w:bCs/>
              </w:rPr>
              <w:t xml:space="preserve"> </w:t>
            </w:r>
            <w:proofErr w:type="spellStart"/>
            <w:r w:rsidRPr="000D71EF">
              <w:rPr>
                <w:bCs/>
              </w:rPr>
              <w:t>Rights</w:t>
            </w:r>
            <w:proofErr w:type="spellEnd"/>
            <w:r w:rsidRPr="000D71EF">
              <w:rPr>
                <w:bCs/>
              </w:rPr>
              <w:t xml:space="preserve"> </w:t>
            </w:r>
            <w:proofErr w:type="spellStart"/>
            <w:r w:rsidRPr="000D71EF">
              <w:rPr>
                <w:bCs/>
              </w:rPr>
              <w:t>Law</w:t>
            </w:r>
            <w:proofErr w:type="spellEnd"/>
            <w:r w:rsidRPr="000D71EF">
              <w:rPr>
                <w:bCs/>
              </w:rPr>
              <w:t>,</w:t>
            </w:r>
            <w:r w:rsidRPr="000D71EF">
              <w:t xml:space="preserve"> Text and </w:t>
            </w:r>
            <w:proofErr w:type="spellStart"/>
            <w:r w:rsidRPr="000D71EF">
              <w:t>Materials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Third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, 2008 </w:t>
            </w:r>
          </w:p>
          <w:p w:rsidR="008F61A4" w:rsidRPr="000D71EF" w:rsidRDefault="008F61A4" w:rsidP="008F61A4">
            <w:pPr>
              <w:autoSpaceDE w:val="0"/>
              <w:autoSpaceDN w:val="0"/>
              <w:adjustRightInd w:val="0"/>
            </w:pPr>
            <w:r w:rsidRPr="000D71EF">
              <w:t>KELLER, H. – STONE-SWEET, A. (</w:t>
            </w:r>
            <w:proofErr w:type="spellStart"/>
            <w:r w:rsidRPr="000D71EF">
              <w:t>eds</w:t>
            </w:r>
            <w:proofErr w:type="spellEnd"/>
            <w:r w:rsidRPr="000D71EF">
              <w:t xml:space="preserve">.): A </w:t>
            </w:r>
            <w:proofErr w:type="spellStart"/>
            <w:r w:rsidRPr="000D71EF">
              <w:t>Europe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Rights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2008</w:t>
            </w:r>
          </w:p>
          <w:p w:rsidR="008F61A4" w:rsidRPr="000D71EF" w:rsidRDefault="008F61A4" w:rsidP="008F61A4">
            <w:pPr>
              <w:autoSpaceDE w:val="0"/>
              <w:autoSpaceDN w:val="0"/>
              <w:adjustRightInd w:val="0"/>
              <w:rPr>
                <w:bCs/>
              </w:rPr>
            </w:pPr>
            <w:r w:rsidRPr="000D71EF">
              <w:t xml:space="preserve">LETSAS, G.: </w:t>
            </w:r>
            <w:r w:rsidRPr="000D71EF">
              <w:rPr>
                <w:bCs/>
              </w:rPr>
              <w:t xml:space="preserve">A </w:t>
            </w:r>
            <w:proofErr w:type="spellStart"/>
            <w:r w:rsidRPr="000D71EF">
              <w:rPr>
                <w:bCs/>
              </w:rPr>
              <w:t>Theory</w:t>
            </w:r>
            <w:proofErr w:type="spellEnd"/>
            <w:r w:rsidRPr="000D71EF">
              <w:rPr>
                <w:bCs/>
              </w:rPr>
              <w:t xml:space="preserve"> </w:t>
            </w:r>
            <w:proofErr w:type="spellStart"/>
            <w:r w:rsidRPr="000D71EF">
              <w:rPr>
                <w:bCs/>
              </w:rPr>
              <w:t>of</w:t>
            </w:r>
            <w:proofErr w:type="spellEnd"/>
            <w:r w:rsidRPr="000D71EF">
              <w:rPr>
                <w:bCs/>
              </w:rPr>
              <w:t xml:space="preserve"> </w:t>
            </w:r>
            <w:proofErr w:type="spellStart"/>
            <w:r w:rsidRPr="000D71EF">
              <w:rPr>
                <w:bCs/>
              </w:rPr>
              <w:t>Interpretation</w:t>
            </w:r>
            <w:proofErr w:type="spellEnd"/>
            <w:r w:rsidRPr="000D71EF">
              <w:rPr>
                <w:bCs/>
              </w:rPr>
              <w:t xml:space="preserve"> </w:t>
            </w:r>
            <w:proofErr w:type="spellStart"/>
            <w:r w:rsidRPr="000D71EF">
              <w:rPr>
                <w:bCs/>
              </w:rPr>
              <w:t>of</w:t>
            </w:r>
            <w:proofErr w:type="spellEnd"/>
            <w:r w:rsidRPr="000D71EF">
              <w:rPr>
                <w:bCs/>
              </w:rPr>
              <w:t xml:space="preserve"> </w:t>
            </w:r>
            <w:proofErr w:type="spellStart"/>
            <w:r w:rsidRPr="000D71EF">
              <w:rPr>
                <w:bCs/>
              </w:rPr>
              <w:t>the</w:t>
            </w:r>
            <w:proofErr w:type="spellEnd"/>
            <w:r w:rsidRPr="000D71EF">
              <w:rPr>
                <w:bCs/>
              </w:rPr>
              <w:t xml:space="preserve"> </w:t>
            </w:r>
            <w:proofErr w:type="spellStart"/>
            <w:r w:rsidRPr="000D71EF">
              <w:rPr>
                <w:bCs/>
              </w:rPr>
              <w:t>European</w:t>
            </w:r>
            <w:proofErr w:type="spellEnd"/>
            <w:r w:rsidRPr="000D71EF">
              <w:rPr>
                <w:bCs/>
              </w:rPr>
              <w:t xml:space="preserve"> </w:t>
            </w:r>
            <w:proofErr w:type="spellStart"/>
            <w:r w:rsidRPr="000D71EF">
              <w:rPr>
                <w:bCs/>
              </w:rPr>
              <w:t>Convention</w:t>
            </w:r>
            <w:proofErr w:type="spellEnd"/>
            <w:r w:rsidRPr="000D71EF">
              <w:rPr>
                <w:bCs/>
              </w:rPr>
              <w:t xml:space="preserve"> on </w:t>
            </w:r>
            <w:proofErr w:type="spellStart"/>
            <w:r w:rsidRPr="000D71EF">
              <w:rPr>
                <w:bCs/>
              </w:rPr>
              <w:t>Human</w:t>
            </w:r>
            <w:proofErr w:type="spellEnd"/>
            <w:r w:rsidRPr="000D71EF">
              <w:rPr>
                <w:bCs/>
              </w:rPr>
              <w:t xml:space="preserve"> </w:t>
            </w:r>
            <w:proofErr w:type="spellStart"/>
            <w:r w:rsidRPr="000D71EF">
              <w:rPr>
                <w:bCs/>
              </w:rPr>
              <w:t>Rights</w:t>
            </w:r>
            <w:proofErr w:type="spellEnd"/>
            <w:r w:rsidRPr="000D71EF">
              <w:rPr>
                <w:bCs/>
              </w:rPr>
              <w:t xml:space="preserve">, </w:t>
            </w:r>
            <w:proofErr w:type="spellStart"/>
            <w:r w:rsidRPr="000D71EF">
              <w:rPr>
                <w:bCs/>
              </w:rPr>
              <w:t>Oxford</w:t>
            </w:r>
            <w:proofErr w:type="spellEnd"/>
            <w:r w:rsidRPr="000D71EF">
              <w:rPr>
                <w:bCs/>
              </w:rPr>
              <w:t xml:space="preserve"> </w:t>
            </w:r>
            <w:proofErr w:type="spellStart"/>
            <w:r w:rsidRPr="000D71EF">
              <w:rPr>
                <w:bCs/>
              </w:rPr>
              <w:t>University</w:t>
            </w:r>
            <w:proofErr w:type="spellEnd"/>
            <w:r w:rsidRPr="000D71EF">
              <w:rPr>
                <w:bCs/>
              </w:rPr>
              <w:t xml:space="preserve"> Press, 2008</w:t>
            </w:r>
          </w:p>
          <w:p w:rsidR="00486C70" w:rsidRPr="000D71EF" w:rsidRDefault="008F61A4" w:rsidP="00AA69D4">
            <w:pPr>
              <w:autoSpaceDE w:val="0"/>
              <w:autoSpaceDN w:val="0"/>
              <w:adjustRightInd w:val="0"/>
            </w:pPr>
            <w:r w:rsidRPr="000D71EF">
              <w:t xml:space="preserve">REID, K.: A </w:t>
            </w:r>
            <w:proofErr w:type="spellStart"/>
            <w:r w:rsidRPr="000D71EF">
              <w:t>Practitioner's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Guide</w:t>
            </w:r>
            <w:proofErr w:type="spellEnd"/>
            <w:r w:rsidRPr="000D71EF">
              <w:t xml:space="preserve"> to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Convention</w:t>
            </w:r>
            <w:proofErr w:type="spellEnd"/>
            <w:r w:rsidRPr="000D71EF">
              <w:t xml:space="preserve"> on </w:t>
            </w:r>
            <w:proofErr w:type="spellStart"/>
            <w:r w:rsidRPr="000D71EF">
              <w:t>Human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Rights</w:t>
            </w:r>
            <w:proofErr w:type="spellEnd"/>
            <w:r w:rsidRPr="000D71EF">
              <w:t xml:space="preserve">. 3rd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Sweet</w:t>
            </w:r>
            <w:proofErr w:type="spellEnd"/>
            <w:r w:rsidRPr="000D71EF">
              <w:t xml:space="preserve"> &amp; </w:t>
            </w:r>
            <w:proofErr w:type="spellStart"/>
            <w:r w:rsidRPr="000D71EF">
              <w:t>Maxwell</w:t>
            </w:r>
            <w:proofErr w:type="spellEnd"/>
            <w:r w:rsidRPr="000D71EF">
              <w:t>, 2008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Jazyk, ktorého znalosť je potrebná na absolvovanie predmetu:</w:t>
            </w:r>
            <w:r w:rsidRPr="000D71EF">
              <w:t xml:space="preserve"> anglický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jc w:val="both"/>
            </w:pPr>
            <w:r w:rsidRPr="000D71EF">
              <w:rPr>
                <w:b/>
              </w:rPr>
              <w:t>Poznámky:</w:t>
            </w:r>
            <w:r w:rsidRPr="000D71EF">
              <w:t xml:space="preserve">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rPr>
                <w:b/>
              </w:rPr>
            </w:pPr>
            <w:r w:rsidRPr="000D71EF">
              <w:rPr>
                <w:b/>
              </w:rPr>
              <w:t>Hodnotenie predmetov</w:t>
            </w:r>
          </w:p>
          <w:p w:rsidR="00486C70" w:rsidRPr="000D71EF" w:rsidRDefault="00486C70" w:rsidP="00AA69D4">
            <w:r w:rsidRPr="000D71EF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86C70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486C70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</w:tr>
          </w:tbl>
          <w:p w:rsidR="00486C70" w:rsidRPr="000D71EF" w:rsidRDefault="00486C70" w:rsidP="00AA69D4"/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0D71EF">
              <w:rPr>
                <w:b/>
              </w:rPr>
              <w:lastRenderedPageBreak/>
              <w:t>Vyučujúci:</w:t>
            </w:r>
            <w:r w:rsidRPr="000D71EF">
              <w:t xml:space="preserve"> </w:t>
            </w:r>
          </w:p>
          <w:p w:rsidR="00486C70" w:rsidRPr="000D71EF" w:rsidRDefault="008F61A4" w:rsidP="008F61A4">
            <w:pPr>
              <w:tabs>
                <w:tab w:val="left" w:pos="1530"/>
              </w:tabs>
            </w:pPr>
            <w:r w:rsidRPr="000D71EF">
              <w:t xml:space="preserve">JUDr. Tomáš </w:t>
            </w:r>
            <w:proofErr w:type="spellStart"/>
            <w:r w:rsidRPr="000D71EF">
              <w:t>Ľalík</w:t>
            </w:r>
            <w:proofErr w:type="spellEnd"/>
            <w:r w:rsidRPr="000D71EF">
              <w:t xml:space="preserve">, PhD., doc. JUDr. Peter </w:t>
            </w:r>
            <w:proofErr w:type="spellStart"/>
            <w:r w:rsidRPr="000D71EF">
              <w:t>Kresák</w:t>
            </w:r>
            <w:proofErr w:type="spellEnd"/>
            <w:r w:rsidRPr="000D71EF">
              <w:t xml:space="preserve">, CSc., JUDr. Kamil </w:t>
            </w:r>
            <w:proofErr w:type="spellStart"/>
            <w:r w:rsidRPr="000D71EF">
              <w:t>Baraník</w:t>
            </w:r>
            <w:proofErr w:type="spellEnd"/>
            <w:r w:rsidRPr="000D71EF">
              <w:t xml:space="preserve">, PhD. </w:t>
            </w:r>
            <w:r w:rsidRPr="000D71EF">
              <w:rPr>
                <w:iCs/>
              </w:rPr>
              <w:t>a ďalší členovia KÚP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Dátum poslednej zmeny:</w:t>
            </w:r>
            <w:r w:rsidRPr="000D71EF">
              <w:t xml:space="preserve">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Schválil:</w:t>
            </w:r>
            <w:r w:rsidRPr="000D71EF">
              <w:t xml:space="preserve"> </w:t>
            </w:r>
          </w:p>
        </w:tc>
      </w:tr>
    </w:tbl>
    <w:p w:rsidR="00486C70" w:rsidRPr="000D71EF" w:rsidRDefault="00486C70" w:rsidP="00486C70">
      <w:pPr>
        <w:ind w:left="720"/>
        <w:jc w:val="both"/>
      </w:pPr>
    </w:p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486C70" w:rsidRPr="000D71EF" w:rsidRDefault="00486C70" w:rsidP="00486C70"/>
    <w:p w:rsidR="0051257D" w:rsidRPr="000D71EF" w:rsidRDefault="0051257D" w:rsidP="00486C70"/>
    <w:p w:rsidR="00312E20" w:rsidRPr="000D71EF" w:rsidRDefault="00312E20" w:rsidP="00486C70">
      <w:pPr>
        <w:ind w:left="720"/>
        <w:jc w:val="right"/>
        <w:rPr>
          <w:b/>
          <w:bCs/>
        </w:rPr>
      </w:pPr>
    </w:p>
    <w:p w:rsidR="00281600" w:rsidRPr="000D71EF" w:rsidRDefault="00281600" w:rsidP="00486C70">
      <w:pPr>
        <w:ind w:left="720"/>
        <w:jc w:val="right"/>
        <w:rPr>
          <w:bCs/>
        </w:rPr>
      </w:pPr>
    </w:p>
    <w:p w:rsidR="004D5FCB" w:rsidRPr="000D71EF" w:rsidRDefault="004D5FCB" w:rsidP="00486C70">
      <w:pPr>
        <w:ind w:left="720"/>
        <w:jc w:val="right"/>
        <w:rPr>
          <w:bCs/>
        </w:rPr>
      </w:pPr>
    </w:p>
    <w:p w:rsidR="00486C70" w:rsidRPr="000D71EF" w:rsidRDefault="00486C70" w:rsidP="00486C70">
      <w:pPr>
        <w:ind w:left="720"/>
        <w:jc w:val="right"/>
        <w:rPr>
          <w:bCs/>
        </w:rPr>
      </w:pPr>
      <w:r w:rsidRPr="000D71EF">
        <w:rPr>
          <w:bCs/>
        </w:rPr>
        <w:lastRenderedPageBreak/>
        <w:t>Informačný list predmetu</w:t>
      </w: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Vysoká škola:</w:t>
            </w:r>
            <w:r w:rsidRPr="000D71EF">
              <w:t xml:space="preserve"> Univerzita Komenského v Bratislave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Fakulta:</w:t>
            </w:r>
            <w:r w:rsidRPr="000D71EF">
              <w:t xml:space="preserve"> Právnická fakulta</w:t>
            </w:r>
          </w:p>
        </w:tc>
      </w:tr>
      <w:tr w:rsidR="00486C70" w:rsidRPr="000D71EF" w:rsidTr="00AA69D4">
        <w:tc>
          <w:tcPr>
            <w:tcW w:w="4110" w:type="dxa"/>
          </w:tcPr>
          <w:p w:rsidR="00486C70" w:rsidRPr="000D71EF" w:rsidRDefault="00486C70" w:rsidP="00AA69D4">
            <w:r w:rsidRPr="000D71EF">
              <w:rPr>
                <w:b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5212" w:type="dxa"/>
          </w:tcPr>
          <w:p w:rsidR="00486C70" w:rsidRPr="000D71EF" w:rsidRDefault="00486C70" w:rsidP="007960E7">
            <w:pPr>
              <w:rPr>
                <w:b/>
              </w:rPr>
            </w:pPr>
            <w:r w:rsidRPr="000D71EF">
              <w:rPr>
                <w:b/>
              </w:rPr>
              <w:t xml:space="preserve">Názov predmetu: </w:t>
            </w:r>
            <w:r w:rsidRPr="000D71EF">
              <w:rPr>
                <w:i/>
              </w:rPr>
              <w:t xml:space="preserve">Medzinárodné a európske </w:t>
            </w:r>
            <w:r w:rsidR="007960E7" w:rsidRPr="000D71EF">
              <w:rPr>
                <w:i/>
              </w:rPr>
              <w:t xml:space="preserve">pracovné </w:t>
            </w:r>
            <w:r w:rsidRPr="000D71EF">
              <w:rPr>
                <w:i/>
              </w:rPr>
              <w:t>právo</w:t>
            </w:r>
            <w:r w:rsidR="007960E7" w:rsidRPr="000D71EF">
              <w:rPr>
                <w:i/>
              </w:rPr>
              <w:t xml:space="preserve"> a právo sociálneho zabezpečenia</w:t>
            </w:r>
          </w:p>
        </w:tc>
      </w:tr>
      <w:tr w:rsidR="00486C70" w:rsidRPr="000D71EF" w:rsidTr="00AA69D4">
        <w:trPr>
          <w:trHeight w:val="1110"/>
        </w:trPr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Druh, rozsah a metóda vzdelávacích činností:</w:t>
            </w:r>
            <w:r w:rsidRPr="000D71EF">
              <w:t xml:space="preserve"> </w:t>
            </w:r>
          </w:p>
          <w:p w:rsidR="00486C70" w:rsidRPr="000D71EF" w:rsidRDefault="00486C70" w:rsidP="00486C70">
            <w:r w:rsidRPr="000D71EF">
              <w:rPr>
                <w:iCs/>
              </w:rPr>
              <w:t>Denná forma štúdia: 1 hodina prednášok a 2 hodiny seminárov týždenne, spolu 42 hodín za semester, prezenčná metóda</w:t>
            </w:r>
          </w:p>
        </w:tc>
      </w:tr>
      <w:tr w:rsidR="00486C70" w:rsidRPr="000D71EF" w:rsidTr="00AA69D4">
        <w:trPr>
          <w:trHeight w:val="286"/>
        </w:trPr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 xml:space="preserve">Počet kreditov: </w:t>
            </w:r>
            <w:r w:rsidRPr="000D71EF">
              <w:t>4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rPr>
                <w:iCs/>
              </w:rPr>
            </w:pPr>
            <w:r w:rsidRPr="000D71EF">
              <w:rPr>
                <w:b/>
              </w:rPr>
              <w:t>Odporúčaný semester štúdia:</w:t>
            </w:r>
            <w:r w:rsidRPr="000D71EF">
              <w:t xml:space="preserve"> </w:t>
            </w:r>
            <w:r w:rsidRPr="000D71EF">
              <w:rPr>
                <w:iCs/>
              </w:rPr>
              <w:t>1</w:t>
            </w:r>
            <w:r w:rsidR="00C73B81" w:rsidRPr="000D71EF">
              <w:rPr>
                <w:iCs/>
              </w:rPr>
              <w:t>. semester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rPr>
                <w:iCs/>
              </w:rPr>
            </w:pPr>
            <w:r w:rsidRPr="000D71EF">
              <w:rPr>
                <w:b/>
              </w:rPr>
              <w:t>Stupeň štúdia:</w:t>
            </w:r>
            <w:r w:rsidRPr="000D71EF">
              <w:t xml:space="preserve"> </w:t>
            </w:r>
            <w:r w:rsidRPr="000D71EF">
              <w:rPr>
                <w:iCs/>
              </w:rPr>
              <w:t>2.</w:t>
            </w:r>
            <w:r w:rsidR="00C73B81" w:rsidRPr="000D71EF">
              <w:rPr>
                <w:iCs/>
              </w:rPr>
              <w:t xml:space="preserve"> stupeň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Podmieňujúce predmety: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Podmienky na absolvovanie predmetu:</w:t>
            </w:r>
            <w:r w:rsidRPr="000D71EF">
              <w:t xml:space="preserve"> </w:t>
            </w:r>
          </w:p>
          <w:p w:rsidR="00281600" w:rsidRPr="000D71EF" w:rsidRDefault="00281600" w:rsidP="00281600">
            <w:r w:rsidRPr="000D71EF">
              <w:t>Priebežné hodnotenie: 30 % (individuálna práca)</w:t>
            </w:r>
          </w:p>
          <w:p w:rsidR="00486C70" w:rsidRPr="000D71EF" w:rsidRDefault="00281600" w:rsidP="00281600">
            <w:r w:rsidRPr="000D71EF">
              <w:t>Záverečné hodnotenie: 70% (ústna skúška)</w:t>
            </w:r>
          </w:p>
          <w:p w:rsidR="00281600" w:rsidRPr="000D71EF" w:rsidRDefault="00281600" w:rsidP="00281600">
            <w:r w:rsidRPr="000D71EF">
              <w:t xml:space="preserve">Klasifikačná stupnica: A/1 = 91 – 100 %; B/1,5 = 81 – 90 %; C/2 = 73 – 80 %; D/2,5 = 66 – 72 %; E/3 = 61 – 65 %; FX = 0 – 60 %. 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9167AA">
            <w:pPr>
              <w:jc w:val="both"/>
            </w:pPr>
            <w:r w:rsidRPr="000D71EF">
              <w:rPr>
                <w:b/>
              </w:rPr>
              <w:t xml:space="preserve">Výsledky vzdelávania: </w:t>
            </w:r>
            <w:r w:rsidR="00281600" w:rsidRPr="000D71EF">
              <w:t>Študent sa oboznámi s problematikou medzinárodného a európskeho sociálneho práva, tak medzinárodné a európske pracovné právo, ako aj medzinárodne a európske právo sociálneho zabezpečenia. Komplexná povaha tohto predmetu umožňuje študentom pochopiť vzájomný vzťah medzi dvoma imanentnými prvkami tohto predmetu, ktoré upravujú pracovné otázky a otázky sociálneho zabezpečenia na medzinárodnej a európskej úrovni, vrátane odlišného prístupu k a metódy použitej pri prv uvedenej úpravy. Po absolvovaná predmetu študent bude schopný aplikovať normy medzinárodného a európskeho sociálneho práva v praxi.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671CF2">
            <w:pPr>
              <w:spacing w:line="23" w:lineRule="atLeast"/>
              <w:ind w:left="425" w:hanging="425"/>
              <w:jc w:val="both"/>
            </w:pPr>
            <w:r w:rsidRPr="000D71EF">
              <w:rPr>
                <w:b/>
              </w:rPr>
              <w:t>Stručná osnova predmetu:</w:t>
            </w:r>
            <w:r w:rsidRPr="000D71EF">
              <w:t xml:space="preserve"> 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Úvod do medzinárodného a európskeho pracovného práva a práva sociálneho zabezpečenia (pramene, princípy a najdôležitejšie pojmy)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Inštitucionálny a legislatívny rámec OSN, MOP, Rada Európy a Európska únia, kompetencie, normotvorba a medzinárodné zmluvy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Voľný pohyb pracovníkov a ochrana ich sociálnych práv (právna úprava, obsah, princípy, pojmy, systém)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Vysielanie pracovníkov a medzinárodné súkromné pracovné právo (právomoc a uznávanie a výkon rozsudkov, rozhodné právo pre zmluvné záväzky a protestné akcie v kolektívnom vyjednávaní)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Antidiskriminačné právo I (úvod, pramene, základné pojmy, zakázané dôvody: rasa, etnická príslušnosť, sexuálna orientácia, vek, zdravotné postihnutie, náboženstvo a viera)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Antidiskriminačné právo II (zakázaný dôvod pohlavie) – implementácia zásady rovnakého zaobchádzania v oblasti zamestnania a povolania, v oblasti prístupu k tovarom a službách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Atypická práca (práca na kratší pracovný čas, práca na dobu určitú, dočasná agentúrna práca)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Úprava pracovných podmienok pre osobitné skupiny (ženy, mladiství zamestnanci, osoby starajúce sa o rodinu)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Pracovný čas a dovolenka, a bezpečnosť a ochrana zdravia pri práci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Ochrana zamestnanca pri hromadnom prepúšťaní, prevodoch podnikov a závodov a platobnej neschopnosti zamestnávateľov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lastRenderedPageBreak/>
              <w:t>Sociálny dialóg a kolektívne pracovné právo (kolektívne vyjednávanie, participácia zamestnancov)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Úvod do medzinárodného a európskeho práva sociálneho zabezpečenia (pramene, princípy a najdôležitejšie pojmy)</w:t>
            </w:r>
          </w:p>
          <w:p w:rsidR="00281600" w:rsidRPr="000D71EF" w:rsidRDefault="00281600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r w:rsidRPr="000D71EF">
              <w:t>Právo sociálneho zabezpečenia EU (Koordinácia systémov, rovné zaobchádzanie)</w:t>
            </w:r>
          </w:p>
          <w:p w:rsidR="008463B3" w:rsidRPr="000D71EF" w:rsidRDefault="008463B3" w:rsidP="00596B1C">
            <w:pPr>
              <w:pStyle w:val="ListParagraph"/>
              <w:numPr>
                <w:ilvl w:val="0"/>
                <w:numId w:val="41"/>
              </w:numPr>
              <w:spacing w:line="23" w:lineRule="atLeast"/>
              <w:ind w:left="426" w:hanging="426"/>
              <w:jc w:val="both"/>
            </w:pPr>
            <w:proofErr w:type="spellStart"/>
            <w:r w:rsidRPr="000D71EF">
              <w:t>Repetitórium</w:t>
            </w:r>
            <w:proofErr w:type="spellEnd"/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rPr>
                <w:b/>
              </w:rPr>
            </w:pPr>
            <w:r w:rsidRPr="000D71EF">
              <w:rPr>
                <w:b/>
              </w:rPr>
              <w:lastRenderedPageBreak/>
              <w:t>Odporúčaná literatúra:</w:t>
            </w:r>
          </w:p>
          <w:p w:rsidR="00281600" w:rsidRPr="000D71EF" w:rsidRDefault="00281600" w:rsidP="00281600">
            <w:r w:rsidRPr="000D71EF">
              <w:t xml:space="preserve">KURIL, M.: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Labour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(</w:t>
            </w:r>
            <w:proofErr w:type="spellStart"/>
            <w:r w:rsidRPr="000D71EF">
              <w:t>selected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chapters</w:t>
            </w:r>
            <w:proofErr w:type="spellEnd"/>
            <w:r w:rsidRPr="000D71EF">
              <w:t>). Bratislava, VO PF UK, 2009</w:t>
            </w:r>
          </w:p>
          <w:p w:rsidR="00281600" w:rsidRPr="000D71EF" w:rsidRDefault="00281600" w:rsidP="00281600">
            <w:r w:rsidRPr="000D71EF">
              <w:t xml:space="preserve">SERVAIS, </w:t>
            </w:r>
            <w:proofErr w:type="spellStart"/>
            <w:r w:rsidRPr="000D71EF">
              <w:t>Jean-Michel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Labour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- </w:t>
            </w:r>
            <w:proofErr w:type="spellStart"/>
            <w:r w:rsidRPr="000D71EF">
              <w:t>Fourth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Alphen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aan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den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Rijn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Kluwer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>, 2014</w:t>
            </w:r>
          </w:p>
          <w:p w:rsidR="00281600" w:rsidRPr="000D71EF" w:rsidRDefault="00281600" w:rsidP="00281600">
            <w:r w:rsidRPr="000D71EF">
              <w:t xml:space="preserve">BLANPAIN, </w:t>
            </w:r>
            <w:proofErr w:type="spellStart"/>
            <w:r w:rsidRPr="000D71EF">
              <w:t>Roger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Labour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- </w:t>
            </w:r>
            <w:proofErr w:type="spellStart"/>
            <w:r w:rsidRPr="000D71EF">
              <w:t>Fourteenth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Revised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Alphen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aan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den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Rijn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Kluwer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>, 2014</w:t>
            </w:r>
          </w:p>
          <w:p w:rsidR="00486C70" w:rsidRPr="000D71EF" w:rsidRDefault="00281600" w:rsidP="00281600">
            <w:r w:rsidRPr="000D71EF">
              <w:t xml:space="preserve">PENNINGS, </w:t>
            </w:r>
            <w:proofErr w:type="spellStart"/>
            <w:r w:rsidRPr="000D71EF">
              <w:t>Frans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Social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Security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6th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. Cambridge: </w:t>
            </w:r>
            <w:proofErr w:type="spellStart"/>
            <w:r w:rsidRPr="000D71EF">
              <w:t>Intersentia</w:t>
            </w:r>
            <w:proofErr w:type="spellEnd"/>
            <w:r w:rsidRPr="000D71EF">
              <w:t>, 2015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596B1C">
            <w:r w:rsidRPr="000D71EF">
              <w:rPr>
                <w:b/>
              </w:rPr>
              <w:t>Jazyk, ktorého znalosť je potrebná na absolvovanie predmetu:</w:t>
            </w:r>
            <w:r w:rsidRPr="000D71EF">
              <w:t xml:space="preserve"> anglický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r w:rsidRPr="000D71EF">
              <w:rPr>
                <w:b/>
              </w:rPr>
              <w:t>Poznámky: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rPr>
                <w:b/>
              </w:rPr>
            </w:pPr>
            <w:r w:rsidRPr="000D71EF">
              <w:rPr>
                <w:b/>
              </w:rPr>
              <w:t>Hodnotenie predmetov</w:t>
            </w:r>
          </w:p>
          <w:p w:rsidR="00486C70" w:rsidRPr="000D71EF" w:rsidRDefault="00486C70" w:rsidP="00AA69D4">
            <w:r w:rsidRPr="000D71EF">
              <w:t>Celkov</w:t>
            </w:r>
            <w:r w:rsidR="00596B1C" w:rsidRPr="000D71EF">
              <w:t>ý počet hodnotených študentov: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86C70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486C70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C70" w:rsidRPr="000D71EF" w:rsidRDefault="00486C70" w:rsidP="00AA69D4">
                  <w:pPr>
                    <w:jc w:val="center"/>
                  </w:pPr>
                </w:p>
              </w:tc>
            </w:tr>
          </w:tbl>
          <w:p w:rsidR="00486C70" w:rsidRPr="000D71EF" w:rsidRDefault="00486C70" w:rsidP="00AA69D4"/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596B1C" w:rsidP="009167AA">
            <w:pPr>
              <w:tabs>
                <w:tab w:val="left" w:pos="1530"/>
              </w:tabs>
            </w:pPr>
            <w:r w:rsidRPr="000D71EF">
              <w:rPr>
                <w:b/>
              </w:rPr>
              <w:t>Vyučujúci:</w:t>
            </w:r>
            <w:r w:rsidRPr="000D71EF">
              <w:t xml:space="preserve"> JUDr. Andrej </w:t>
            </w:r>
            <w:proofErr w:type="spellStart"/>
            <w:r w:rsidRPr="000D71EF">
              <w:t>Poruban</w:t>
            </w:r>
            <w:proofErr w:type="spellEnd"/>
            <w:r w:rsidRPr="000D71EF">
              <w:t xml:space="preserve">, PhD., JUDr. Lenka </w:t>
            </w:r>
            <w:proofErr w:type="spellStart"/>
            <w:r w:rsidRPr="000D71EF">
              <w:t>Freel</w:t>
            </w:r>
            <w:proofErr w:type="spellEnd"/>
            <w:r w:rsidRPr="000D71EF">
              <w:t>, PhD.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Dátum poslednej zmeny:</w:t>
            </w:r>
            <w:r w:rsidRPr="000D71EF">
              <w:t xml:space="preserve"> </w:t>
            </w:r>
          </w:p>
        </w:tc>
      </w:tr>
      <w:tr w:rsidR="00486C70" w:rsidRPr="000D71EF" w:rsidTr="00AA69D4">
        <w:tc>
          <w:tcPr>
            <w:tcW w:w="9322" w:type="dxa"/>
            <w:gridSpan w:val="2"/>
          </w:tcPr>
          <w:p w:rsidR="00486C70" w:rsidRPr="000D71EF" w:rsidRDefault="00486C70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Schválil:</w:t>
            </w:r>
            <w:r w:rsidRPr="000D71EF">
              <w:t xml:space="preserve"> </w:t>
            </w:r>
          </w:p>
        </w:tc>
      </w:tr>
    </w:tbl>
    <w:p w:rsidR="00486C70" w:rsidRPr="000D71EF" w:rsidRDefault="00486C70" w:rsidP="00486C70">
      <w:pPr>
        <w:ind w:left="720"/>
        <w:jc w:val="both"/>
      </w:pPr>
    </w:p>
    <w:p w:rsidR="00486C70" w:rsidRPr="000D71EF" w:rsidRDefault="00486C70" w:rsidP="00486C70"/>
    <w:p w:rsidR="00486C70" w:rsidRPr="000D71EF" w:rsidRDefault="00486C70" w:rsidP="00486C70"/>
    <w:p w:rsidR="009167AA" w:rsidRPr="000D71EF" w:rsidRDefault="009167AA" w:rsidP="00486C70"/>
    <w:p w:rsidR="009167AA" w:rsidRPr="000D71EF" w:rsidRDefault="009167AA" w:rsidP="00486C70"/>
    <w:p w:rsidR="009167AA" w:rsidRPr="000D71EF" w:rsidRDefault="009167AA" w:rsidP="00486C70"/>
    <w:p w:rsidR="009167AA" w:rsidRPr="000D71EF" w:rsidRDefault="009167AA" w:rsidP="00486C70"/>
    <w:p w:rsidR="009167AA" w:rsidRPr="000D71EF" w:rsidRDefault="009167AA" w:rsidP="00486C70"/>
    <w:p w:rsidR="009167AA" w:rsidRPr="000D71EF" w:rsidRDefault="009167AA" w:rsidP="00486C70"/>
    <w:p w:rsidR="009167AA" w:rsidRPr="000D71EF" w:rsidRDefault="009167AA" w:rsidP="00486C70"/>
    <w:p w:rsidR="009167AA" w:rsidRPr="000D71EF" w:rsidRDefault="009167AA" w:rsidP="00486C70"/>
    <w:p w:rsidR="009167AA" w:rsidRPr="000D71EF" w:rsidRDefault="009167AA" w:rsidP="00486C70"/>
    <w:p w:rsidR="004D5FCB" w:rsidRPr="000D71EF" w:rsidRDefault="004D5FCB" w:rsidP="009167AA">
      <w:pPr>
        <w:ind w:left="720"/>
        <w:jc w:val="right"/>
        <w:outlineLvl w:val="0"/>
        <w:rPr>
          <w:bCs/>
        </w:rPr>
      </w:pPr>
    </w:p>
    <w:p w:rsidR="004D5FCB" w:rsidRPr="000D71EF" w:rsidRDefault="004D5FCB" w:rsidP="009167AA">
      <w:pPr>
        <w:ind w:left="720"/>
        <w:jc w:val="right"/>
        <w:outlineLvl w:val="0"/>
        <w:rPr>
          <w:bCs/>
        </w:rPr>
      </w:pPr>
    </w:p>
    <w:p w:rsidR="009167AA" w:rsidRPr="000D71EF" w:rsidRDefault="009167AA" w:rsidP="009167AA">
      <w:pPr>
        <w:ind w:left="720"/>
        <w:jc w:val="right"/>
        <w:outlineLvl w:val="0"/>
        <w:rPr>
          <w:bCs/>
        </w:rPr>
      </w:pPr>
      <w:r w:rsidRPr="000D71EF">
        <w:rPr>
          <w:bCs/>
        </w:rPr>
        <w:lastRenderedPageBreak/>
        <w:t>Informačný list predmetu</w:t>
      </w: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Vysoká škola:</w:t>
            </w:r>
            <w:r w:rsidRPr="000D71EF">
              <w:t xml:space="preserve"> Univerzita Komenského v Bratislave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Fakulta:</w:t>
            </w:r>
            <w:r w:rsidRPr="000D71EF">
              <w:t xml:space="preserve"> Právnická fakulta</w:t>
            </w:r>
          </w:p>
        </w:tc>
      </w:tr>
      <w:tr w:rsidR="009167AA" w:rsidRPr="000D71EF" w:rsidTr="00AA69D4">
        <w:tc>
          <w:tcPr>
            <w:tcW w:w="4110" w:type="dxa"/>
          </w:tcPr>
          <w:p w:rsidR="009167AA" w:rsidRPr="000D71EF" w:rsidRDefault="009167AA" w:rsidP="00AA69D4">
            <w:r w:rsidRPr="000D71EF">
              <w:rPr>
                <w:b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5212" w:type="dxa"/>
          </w:tcPr>
          <w:p w:rsidR="009167AA" w:rsidRPr="000D71EF" w:rsidRDefault="009167AA" w:rsidP="00AA69D4">
            <w:pPr>
              <w:rPr>
                <w:b/>
              </w:rPr>
            </w:pPr>
            <w:r w:rsidRPr="000D71EF">
              <w:rPr>
                <w:b/>
              </w:rPr>
              <w:t xml:space="preserve">Názov predmetu: </w:t>
            </w:r>
            <w:r w:rsidR="00596B1C" w:rsidRPr="000D71EF">
              <w:rPr>
                <w:i/>
              </w:rPr>
              <w:t>Medzinárodné právo verejné 2</w:t>
            </w:r>
          </w:p>
        </w:tc>
      </w:tr>
      <w:tr w:rsidR="009167AA" w:rsidRPr="000D71EF" w:rsidTr="00AA69D4">
        <w:trPr>
          <w:trHeight w:val="1110"/>
        </w:trPr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Druh, rozsah a metóda vzdelávacích činností:</w:t>
            </w:r>
            <w:r w:rsidRPr="000D71EF">
              <w:t xml:space="preserve"> </w:t>
            </w:r>
          </w:p>
          <w:p w:rsidR="009167AA" w:rsidRPr="000D71EF" w:rsidRDefault="009167AA" w:rsidP="00AA69D4">
            <w:r w:rsidRPr="000D71EF">
              <w:rPr>
                <w:iCs/>
              </w:rPr>
              <w:t>Denná forma štúdia: 1 hodina prednášok a 2 hodiny seminárov týždenne, spolu 42 hodín za semester, prezenčná metóda</w:t>
            </w:r>
          </w:p>
        </w:tc>
      </w:tr>
      <w:tr w:rsidR="009167AA" w:rsidRPr="000D71EF" w:rsidTr="00AA69D4">
        <w:trPr>
          <w:trHeight w:val="286"/>
        </w:trPr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 xml:space="preserve">Počet kreditov: </w:t>
            </w:r>
            <w:r w:rsidRPr="000D71EF">
              <w:t>5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rPr>
                <w:iCs/>
              </w:rPr>
            </w:pPr>
            <w:r w:rsidRPr="000D71EF">
              <w:rPr>
                <w:b/>
              </w:rPr>
              <w:t>Odporúčaný semester štúdia:</w:t>
            </w:r>
            <w:r w:rsidRPr="000D71EF">
              <w:t xml:space="preserve"> </w:t>
            </w:r>
            <w:r w:rsidRPr="000D71EF">
              <w:rPr>
                <w:iCs/>
              </w:rPr>
              <w:t>2</w:t>
            </w:r>
            <w:r w:rsidR="00A731B9" w:rsidRPr="000D71EF">
              <w:rPr>
                <w:iCs/>
              </w:rPr>
              <w:t>. semester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rPr>
                <w:iCs/>
              </w:rPr>
            </w:pPr>
            <w:r w:rsidRPr="000D71EF">
              <w:rPr>
                <w:b/>
              </w:rPr>
              <w:t>Stupeň štúdia:</w:t>
            </w:r>
            <w:r w:rsidRPr="000D71EF">
              <w:t xml:space="preserve"> </w:t>
            </w:r>
            <w:r w:rsidRPr="000D71EF">
              <w:rPr>
                <w:iCs/>
              </w:rPr>
              <w:t>2.</w:t>
            </w:r>
            <w:r w:rsidR="00A731B9" w:rsidRPr="000D71EF">
              <w:rPr>
                <w:iCs/>
              </w:rPr>
              <w:t xml:space="preserve"> stupeň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Podmieňujúce predmety: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Podmienky na absolvovanie predmetu:</w:t>
            </w:r>
            <w:r w:rsidRPr="000D71EF">
              <w:t xml:space="preserve"> </w:t>
            </w:r>
          </w:p>
          <w:p w:rsidR="009167AA" w:rsidRPr="000D71EF" w:rsidRDefault="009167AA" w:rsidP="00AA69D4">
            <w:r w:rsidRPr="000D71EF">
              <w:t>Priebežné hodnotenie: 40 % (je založené na aktívnej účasti, t.j. účasti na diskusiách a riešeniach príkla</w:t>
            </w:r>
            <w:r w:rsidR="00596B1C" w:rsidRPr="000D71EF">
              <w:t xml:space="preserve">dov počas prednášok a seminárov </w:t>
            </w:r>
            <w:r w:rsidRPr="000D71EF">
              <w:t>v rozsahu 10 %, a na dvoch písomných zadaniach (á 15 %))</w:t>
            </w:r>
          </w:p>
          <w:p w:rsidR="009167AA" w:rsidRPr="000D71EF" w:rsidRDefault="009167AA" w:rsidP="00AA69D4">
            <w:r w:rsidRPr="000D71EF">
              <w:t xml:space="preserve">Záverečné hodnotenie: 60% 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jc w:val="both"/>
            </w:pPr>
            <w:r w:rsidRPr="000D71EF">
              <w:rPr>
                <w:b/>
              </w:rPr>
              <w:t xml:space="preserve">Výsledky vzdelávania: </w:t>
            </w:r>
            <w:r w:rsidRPr="000D71EF">
              <w:t xml:space="preserve">Cieľom predmetu je prehĺbiť znalosti študentov zo všeobecných inštitútov medzinárodného práva verejného a rozšíriť ich o špecifické oblasti. Študenti získajú základnú orientáciu v medzinárodnoprávnych normách týkajúcich sa územia a medzinárodných priestorov, jurisdikcie, zmlúv, ochrany ľudských práv, diplomatických, konzulárnych a multilaterálnych stykov, medzinárodnej bezpečnosti a humanitárneho práva. Želateľným výsledkom je nadobudnutie schopnosti študentov komplexne pristupovať k súčasným medzinárodným dianiam z pohľadu medzinárodného práva. 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spacing w:line="23" w:lineRule="atLeast"/>
              <w:jc w:val="both"/>
            </w:pPr>
            <w:r w:rsidRPr="000D71EF">
              <w:rPr>
                <w:b/>
              </w:rPr>
              <w:t>Stručná osnova predmetu:</w:t>
            </w:r>
            <w:r w:rsidRPr="000D71EF">
              <w:t xml:space="preserve"> </w:t>
            </w:r>
          </w:p>
          <w:p w:rsidR="009167AA" w:rsidRPr="000D71EF" w:rsidRDefault="009167AA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Vznik, zánik, kontinuita a obsah suverenity štátov</w:t>
            </w:r>
          </w:p>
          <w:p w:rsidR="009167AA" w:rsidRPr="000D71EF" w:rsidRDefault="009167AA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Štátne územie</w:t>
            </w:r>
          </w:p>
          <w:p w:rsidR="00596B1C" w:rsidRPr="000D71EF" w:rsidRDefault="009167AA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Medzinárodné</w:t>
            </w:r>
            <w:r w:rsidR="00596B1C" w:rsidRPr="000D71EF">
              <w:t xml:space="preserve"> priestory - právna úprava morí</w:t>
            </w:r>
          </w:p>
          <w:p w:rsidR="009167AA" w:rsidRPr="000D71EF" w:rsidRDefault="00596B1C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Právna úprava kozmického priestoru</w:t>
            </w:r>
            <w:r w:rsidR="009167AA" w:rsidRPr="000D71EF">
              <w:t> </w:t>
            </w:r>
          </w:p>
          <w:p w:rsidR="009167AA" w:rsidRPr="000D71EF" w:rsidRDefault="009167AA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Štátna príslušnosť v kontexte medzinárodného práva</w:t>
            </w:r>
          </w:p>
          <w:p w:rsidR="009167AA" w:rsidRPr="000D71EF" w:rsidRDefault="009167AA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Medzinárodnoprávna ochrana ľudských práv</w:t>
            </w:r>
          </w:p>
          <w:p w:rsidR="009167AA" w:rsidRPr="000D71EF" w:rsidRDefault="009167AA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Medzinárodné zmluvy</w:t>
            </w:r>
          </w:p>
          <w:p w:rsidR="009167AA" w:rsidRPr="000D71EF" w:rsidRDefault="00355661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Medzinárodné zmluvy II</w:t>
            </w:r>
          </w:p>
          <w:p w:rsidR="00355661" w:rsidRPr="000D71EF" w:rsidRDefault="00355661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Medzinárodné zmluvy III</w:t>
            </w:r>
          </w:p>
          <w:p w:rsidR="00596B1C" w:rsidRPr="000D71EF" w:rsidRDefault="00596B1C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Vonkajšie styky štátu</w:t>
            </w:r>
          </w:p>
          <w:p w:rsidR="009167AA" w:rsidRPr="000D71EF" w:rsidRDefault="009167AA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Postavenie medzinárodných organizácií</w:t>
            </w:r>
          </w:p>
          <w:p w:rsidR="009167AA" w:rsidRPr="000D71EF" w:rsidRDefault="009167AA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Medzinárodná bezpečnosť</w:t>
            </w:r>
          </w:p>
          <w:p w:rsidR="009167AA" w:rsidRPr="000D71EF" w:rsidRDefault="009167AA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r w:rsidRPr="000D71EF">
              <w:t>Medzinárodné humanitárne právo</w:t>
            </w:r>
          </w:p>
          <w:p w:rsidR="009167AA" w:rsidRPr="000D71EF" w:rsidRDefault="009167AA" w:rsidP="00A15464">
            <w:pPr>
              <w:numPr>
                <w:ilvl w:val="0"/>
                <w:numId w:val="6"/>
              </w:numPr>
              <w:spacing w:line="23" w:lineRule="atLeast"/>
              <w:ind w:left="425" w:hanging="425"/>
              <w:jc w:val="both"/>
            </w:pPr>
            <w:proofErr w:type="spellStart"/>
            <w:r w:rsidRPr="000D71EF">
              <w:t>Repetitórium</w:t>
            </w:r>
            <w:proofErr w:type="spellEnd"/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rPr>
                <w:b/>
              </w:rPr>
            </w:pPr>
            <w:r w:rsidRPr="000D71EF">
              <w:rPr>
                <w:b/>
              </w:rPr>
              <w:t>Odporúčaná literatúra:</w:t>
            </w:r>
          </w:p>
          <w:p w:rsidR="009167AA" w:rsidRPr="000D71EF" w:rsidRDefault="009167AA" w:rsidP="00AA69D4">
            <w:proofErr w:type="spellStart"/>
            <w:r w:rsidRPr="000D71EF">
              <w:t>Malcolm</w:t>
            </w:r>
            <w:proofErr w:type="spellEnd"/>
            <w:r w:rsidRPr="000D71EF">
              <w:t xml:space="preserve"> N. </w:t>
            </w:r>
            <w:proofErr w:type="spellStart"/>
            <w:r w:rsidRPr="000D71EF">
              <w:t>Shaw</w:t>
            </w:r>
            <w:proofErr w:type="spellEnd"/>
            <w:r w:rsidRPr="000D71EF">
              <w:t xml:space="preserve">.: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6 </w:t>
            </w:r>
            <w:proofErr w:type="spellStart"/>
            <w:r w:rsidRPr="000D71EF">
              <w:t>th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.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2008</w:t>
            </w:r>
          </w:p>
          <w:p w:rsidR="009167AA" w:rsidRPr="000D71EF" w:rsidRDefault="009167AA" w:rsidP="00AA69D4">
            <w:proofErr w:type="spellStart"/>
            <w:r w:rsidRPr="000D71EF">
              <w:t>Malcolm</w:t>
            </w:r>
            <w:proofErr w:type="spellEnd"/>
            <w:r w:rsidRPr="000D71EF">
              <w:t xml:space="preserve"> D. </w:t>
            </w:r>
            <w:proofErr w:type="spellStart"/>
            <w:r w:rsidRPr="000D71EF">
              <w:t>Evans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3 </w:t>
            </w:r>
            <w:proofErr w:type="spellStart"/>
            <w:r w:rsidRPr="000D71EF">
              <w:t>th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New York, 2010</w:t>
            </w:r>
          </w:p>
          <w:p w:rsidR="009167AA" w:rsidRPr="000D71EF" w:rsidRDefault="009167AA" w:rsidP="00AA69D4">
            <w:proofErr w:type="spellStart"/>
            <w:r w:rsidRPr="000D71EF">
              <w:t>Ian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Brownlie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principles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Public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7th </w:t>
            </w:r>
            <w:proofErr w:type="spellStart"/>
            <w:r w:rsidRPr="000D71EF">
              <w:t>ed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2008</w:t>
            </w:r>
          </w:p>
          <w:p w:rsidR="009167AA" w:rsidRPr="000D71EF" w:rsidRDefault="009167AA" w:rsidP="00AA69D4">
            <w:proofErr w:type="spellStart"/>
            <w:r w:rsidRPr="000D71EF">
              <w:t>Antonio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Cassesse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2nd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2005</w:t>
            </w:r>
          </w:p>
          <w:p w:rsidR="009167AA" w:rsidRPr="000D71EF" w:rsidRDefault="009167AA" w:rsidP="00AA69D4">
            <w:proofErr w:type="spellStart"/>
            <w:r w:rsidRPr="000D71EF">
              <w:t>David</w:t>
            </w:r>
            <w:proofErr w:type="spellEnd"/>
            <w:r w:rsidRPr="000D71EF">
              <w:t xml:space="preserve"> J. </w:t>
            </w:r>
            <w:proofErr w:type="spellStart"/>
            <w:r w:rsidRPr="000D71EF">
              <w:t>harris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Cases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Materials</w:t>
            </w:r>
            <w:proofErr w:type="spellEnd"/>
            <w:r w:rsidRPr="000D71EF">
              <w:t xml:space="preserve"> on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7th </w:t>
            </w:r>
            <w:proofErr w:type="spellStart"/>
            <w:r w:rsidRPr="000D71EF">
              <w:t>ed</w:t>
            </w:r>
            <w:proofErr w:type="spellEnd"/>
            <w:r w:rsidRPr="000D71EF">
              <w:t xml:space="preserve">., </w:t>
            </w:r>
            <w:proofErr w:type="spellStart"/>
            <w:r w:rsidRPr="000D71EF">
              <w:t>Sweet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Maxwell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London</w:t>
            </w:r>
            <w:proofErr w:type="spellEnd"/>
            <w:r w:rsidRPr="000D71EF">
              <w:t xml:space="preserve">, 2010 </w:t>
            </w:r>
          </w:p>
          <w:p w:rsidR="009167AA" w:rsidRPr="000D71EF" w:rsidRDefault="009167AA" w:rsidP="00AA69D4">
            <w:pPr>
              <w:jc w:val="both"/>
            </w:pPr>
            <w:proofErr w:type="spellStart"/>
            <w:r w:rsidRPr="000D71EF">
              <w:t>Public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II </w:t>
            </w:r>
            <w:proofErr w:type="spellStart"/>
            <w:r w:rsidRPr="000D71EF">
              <w:t>Reader</w:t>
            </w:r>
            <w:proofErr w:type="spellEnd"/>
            <w:r w:rsidRPr="000D71EF">
              <w:t xml:space="preserve"> </w:t>
            </w:r>
          </w:p>
          <w:p w:rsidR="009167AA" w:rsidRPr="000D71EF" w:rsidRDefault="009167AA" w:rsidP="00AA69D4">
            <w:pPr>
              <w:jc w:val="both"/>
            </w:pPr>
            <w:r w:rsidRPr="000D71EF">
              <w:t xml:space="preserve">Medzinárodné dokumenty, rozhodnutia a iné </w:t>
            </w:r>
          </w:p>
          <w:p w:rsidR="009167AA" w:rsidRPr="000D71EF" w:rsidRDefault="007B51A5" w:rsidP="00AA69D4">
            <w:pPr>
              <w:jc w:val="both"/>
            </w:pPr>
            <w:hyperlink r:id="rId15" w:history="1">
              <w:r w:rsidR="009167AA" w:rsidRPr="000D71EF">
                <w:rPr>
                  <w:rStyle w:val="Hyperlink"/>
                </w:rPr>
                <w:t>www.un.org</w:t>
              </w:r>
            </w:hyperlink>
          </w:p>
          <w:p w:rsidR="009167AA" w:rsidRPr="000D71EF" w:rsidRDefault="007B51A5" w:rsidP="00AA69D4">
            <w:pPr>
              <w:jc w:val="both"/>
            </w:pPr>
            <w:hyperlink r:id="rId16" w:history="1">
              <w:r w:rsidR="009167AA" w:rsidRPr="000D71EF">
                <w:rPr>
                  <w:rStyle w:val="Hyperlink"/>
                </w:rPr>
                <w:t>http://treaties.un.org</w:t>
              </w:r>
            </w:hyperlink>
          </w:p>
          <w:p w:rsidR="009167AA" w:rsidRPr="000D71EF" w:rsidRDefault="007B51A5" w:rsidP="00AA69D4">
            <w:pPr>
              <w:jc w:val="both"/>
            </w:pPr>
            <w:hyperlink r:id="rId17" w:history="1">
              <w:r w:rsidR="009167AA" w:rsidRPr="000D71EF">
                <w:rPr>
                  <w:rStyle w:val="Hyperlink"/>
                </w:rPr>
                <w:t>www.icj-cij.org</w:t>
              </w:r>
            </w:hyperlink>
          </w:p>
          <w:p w:rsidR="009167AA" w:rsidRPr="000D71EF" w:rsidRDefault="007B51A5" w:rsidP="00AA69D4">
            <w:pPr>
              <w:jc w:val="both"/>
            </w:pPr>
            <w:hyperlink r:id="rId18" w:history="1">
              <w:r w:rsidR="009167AA" w:rsidRPr="000D71EF">
                <w:rPr>
                  <w:rStyle w:val="Hyperlink"/>
                </w:rPr>
                <w:t>www.pca-cpa.org</w:t>
              </w:r>
            </w:hyperlink>
          </w:p>
          <w:p w:rsidR="009167AA" w:rsidRPr="000D71EF" w:rsidRDefault="007B51A5" w:rsidP="00596B1C">
            <w:pPr>
              <w:jc w:val="both"/>
            </w:pPr>
            <w:hyperlink r:id="rId19" w:history="1">
              <w:r w:rsidR="009167AA" w:rsidRPr="000D71EF">
                <w:rPr>
                  <w:rStyle w:val="Hyperlink"/>
                </w:rPr>
                <w:t>http://www.un.org/law/ilc/</w:t>
              </w:r>
            </w:hyperlink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596B1C">
            <w:r w:rsidRPr="000D71EF">
              <w:rPr>
                <w:b/>
              </w:rPr>
              <w:lastRenderedPageBreak/>
              <w:t>Jazyk, ktorého znalosť je potrebná na absolvovanie predmetu:</w:t>
            </w:r>
            <w:r w:rsidRPr="000D71EF">
              <w:t xml:space="preserve"> anglický 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Poznámky: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rPr>
                <w:b/>
              </w:rPr>
            </w:pPr>
            <w:r w:rsidRPr="000D71EF">
              <w:rPr>
                <w:b/>
              </w:rPr>
              <w:t>Hodnotenie predmetov</w:t>
            </w:r>
          </w:p>
          <w:p w:rsidR="009167AA" w:rsidRPr="000D71EF" w:rsidRDefault="009167AA" w:rsidP="00AA69D4">
            <w:r w:rsidRPr="000D71EF">
              <w:t>Celkový počet hodnotených študento</w:t>
            </w:r>
            <w:r w:rsidR="00596B1C" w:rsidRPr="000D71EF">
              <w:t xml:space="preserve">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9167AA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9167AA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</w:tr>
          </w:tbl>
          <w:p w:rsidR="009167AA" w:rsidRPr="000D71EF" w:rsidRDefault="009167AA" w:rsidP="00AA69D4"/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9167AA">
            <w:pPr>
              <w:tabs>
                <w:tab w:val="left" w:pos="1530"/>
              </w:tabs>
            </w:pPr>
            <w:r w:rsidRPr="000D71EF">
              <w:rPr>
                <w:b/>
              </w:rPr>
              <w:t>Vyučujúci:</w:t>
            </w:r>
            <w:r w:rsidRPr="000D71EF">
              <w:t xml:space="preserve"> doc. JUDr. Peter </w:t>
            </w:r>
            <w:proofErr w:type="spellStart"/>
            <w:r w:rsidRPr="000D71EF">
              <w:t>Vršanský</w:t>
            </w:r>
            <w:proofErr w:type="spellEnd"/>
            <w:r w:rsidRPr="000D71EF">
              <w:t xml:space="preserve">, CSc., Mgr. Soňa </w:t>
            </w:r>
            <w:proofErr w:type="spellStart"/>
            <w:r w:rsidRPr="000D71EF">
              <w:t>Ondrášiková</w:t>
            </w:r>
            <w:proofErr w:type="spellEnd"/>
            <w:r w:rsidRPr="000D71EF">
              <w:t xml:space="preserve"> a ďalší členovia </w:t>
            </w:r>
            <w:proofErr w:type="spellStart"/>
            <w:r w:rsidRPr="000D71EF">
              <w:t>KMPaMV</w:t>
            </w:r>
            <w:proofErr w:type="spellEnd"/>
            <w:r w:rsidRPr="000D71EF">
              <w:t xml:space="preserve"> 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Dátum poslednej zmeny:</w:t>
            </w:r>
            <w:r w:rsidRPr="000D71EF">
              <w:t xml:space="preserve"> 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Schválil:</w:t>
            </w:r>
            <w:r w:rsidRPr="000D71EF">
              <w:t xml:space="preserve"> </w:t>
            </w:r>
          </w:p>
        </w:tc>
      </w:tr>
    </w:tbl>
    <w:p w:rsidR="009167AA" w:rsidRPr="000D71EF" w:rsidRDefault="009167AA" w:rsidP="009167AA">
      <w:pPr>
        <w:ind w:left="720"/>
        <w:jc w:val="both"/>
      </w:pPr>
    </w:p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A15464" w:rsidRPr="000D71EF" w:rsidRDefault="00A15464" w:rsidP="00486C70"/>
    <w:p w:rsidR="00A15464" w:rsidRPr="000D71EF" w:rsidRDefault="00A15464" w:rsidP="00486C70"/>
    <w:p w:rsidR="00596B1C" w:rsidRPr="000D71EF" w:rsidRDefault="00596B1C" w:rsidP="009167AA">
      <w:pPr>
        <w:ind w:left="720"/>
        <w:jc w:val="right"/>
      </w:pPr>
    </w:p>
    <w:p w:rsidR="004D5FCB" w:rsidRPr="000D71EF" w:rsidRDefault="004D5FCB" w:rsidP="009167AA">
      <w:pPr>
        <w:ind w:left="720"/>
        <w:jc w:val="right"/>
      </w:pPr>
    </w:p>
    <w:p w:rsidR="004D5FCB" w:rsidRPr="000D71EF" w:rsidRDefault="004D5FCB" w:rsidP="009167AA">
      <w:pPr>
        <w:ind w:left="720"/>
        <w:jc w:val="right"/>
      </w:pPr>
    </w:p>
    <w:p w:rsidR="009167AA" w:rsidRPr="000D71EF" w:rsidRDefault="009167AA" w:rsidP="009167AA">
      <w:pPr>
        <w:ind w:left="720"/>
        <w:jc w:val="right"/>
      </w:pPr>
      <w:r w:rsidRPr="000D71EF">
        <w:lastRenderedPageBreak/>
        <w:t>Informačný list predmetu</w:t>
      </w: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Vysoká škola:</w:t>
            </w:r>
            <w:r w:rsidRPr="000D71EF">
              <w:t xml:space="preserve"> Univerzita Komenského v Bratislave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Fakulta:</w:t>
            </w:r>
            <w:r w:rsidRPr="000D71EF">
              <w:t xml:space="preserve"> Právnická fakulta</w:t>
            </w:r>
          </w:p>
        </w:tc>
      </w:tr>
      <w:tr w:rsidR="009167AA" w:rsidRPr="000D71EF" w:rsidTr="00AA69D4">
        <w:tc>
          <w:tcPr>
            <w:tcW w:w="4110" w:type="dxa"/>
          </w:tcPr>
          <w:p w:rsidR="009167AA" w:rsidRPr="000D71EF" w:rsidRDefault="009167AA" w:rsidP="00AA69D4">
            <w:r w:rsidRPr="000D71EF">
              <w:rPr>
                <w:b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5212" w:type="dxa"/>
          </w:tcPr>
          <w:p w:rsidR="009167AA" w:rsidRPr="000D71EF" w:rsidRDefault="009167AA" w:rsidP="00AA69D4">
            <w:pPr>
              <w:rPr>
                <w:b/>
              </w:rPr>
            </w:pPr>
            <w:r w:rsidRPr="000D71EF">
              <w:rPr>
                <w:b/>
              </w:rPr>
              <w:t xml:space="preserve">Názov predmetu: </w:t>
            </w:r>
            <w:r w:rsidRPr="000D71EF">
              <w:rPr>
                <w:i/>
              </w:rPr>
              <w:t>Európske právo 2</w:t>
            </w:r>
          </w:p>
        </w:tc>
      </w:tr>
      <w:tr w:rsidR="009167AA" w:rsidRPr="000D71EF" w:rsidTr="00596B1C">
        <w:trPr>
          <w:trHeight w:val="610"/>
        </w:trPr>
        <w:tc>
          <w:tcPr>
            <w:tcW w:w="9322" w:type="dxa"/>
            <w:gridSpan w:val="2"/>
          </w:tcPr>
          <w:p w:rsidR="009167AA" w:rsidRPr="000D71EF" w:rsidRDefault="009167AA" w:rsidP="00AA69D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D71EF">
              <w:rPr>
                <w:rFonts w:eastAsiaTheme="minorHAnsi"/>
                <w:lang w:eastAsia="en-US"/>
              </w:rPr>
              <w:t>Denná forma štúdia: 1 hodina prednášok a 2 hodiny seminárov týždenne, spolu 42 hodín za semester, prezenčná metóda</w:t>
            </w:r>
          </w:p>
        </w:tc>
      </w:tr>
      <w:tr w:rsidR="009167AA" w:rsidRPr="000D71EF" w:rsidTr="00AA69D4">
        <w:trPr>
          <w:trHeight w:val="286"/>
        </w:trPr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Počet kreditov:</w:t>
            </w:r>
            <w:r w:rsidRPr="000D71EF">
              <w:t xml:space="preserve"> 5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Odporúčaný semester štúdia:</w:t>
            </w:r>
            <w:r w:rsidRPr="000D71EF">
              <w:t xml:space="preserve"> 2. semester 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Stupeň štúdia:</w:t>
            </w:r>
            <w:r w:rsidRPr="000D71EF">
              <w:t xml:space="preserve"> 2.</w:t>
            </w:r>
            <w:r w:rsidR="00EE48A0" w:rsidRPr="000D71EF">
              <w:t xml:space="preserve"> stupeň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Podmieňujúce predmety:</w:t>
            </w:r>
            <w:r w:rsidRPr="000D71EF">
              <w:t xml:space="preserve"> 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rPr>
                <w:b/>
              </w:rPr>
            </w:pPr>
            <w:r w:rsidRPr="000D71EF">
              <w:rPr>
                <w:b/>
              </w:rPr>
              <w:t xml:space="preserve">Podmienky na absolvovanie predmetu: </w:t>
            </w:r>
          </w:p>
          <w:p w:rsidR="00596B1C" w:rsidRPr="000D71EF" w:rsidRDefault="00596B1C" w:rsidP="00596B1C">
            <w:r w:rsidRPr="000D71EF">
              <w:t>Priebežné hodnotenie: písomné zadanie v hodnote 40 bodov (40%)</w:t>
            </w:r>
          </w:p>
          <w:p w:rsidR="00596B1C" w:rsidRPr="000D71EF" w:rsidRDefault="00596B1C" w:rsidP="00596B1C">
            <w:r w:rsidRPr="000D71EF">
              <w:t>Záverečné hodnotenie: záverečná písomná skúška v hodnote 60 bodov (60%)</w:t>
            </w:r>
          </w:p>
          <w:p w:rsidR="00596B1C" w:rsidRPr="000D71EF" w:rsidRDefault="00596B1C" w:rsidP="00596B1C">
            <w:r w:rsidRPr="000D71EF">
              <w:t>Minimálne hodnotenie 61 % každé.</w:t>
            </w:r>
          </w:p>
          <w:p w:rsidR="009167AA" w:rsidRPr="000D71EF" w:rsidRDefault="00596B1C" w:rsidP="00596B1C">
            <w:r w:rsidRPr="000D71EF">
              <w:t xml:space="preserve">Klasifikačná stupnica: A/1 = 91 – 100 %; B/1,5 = 81 – 90 %; C/2 = 73 – 80 %; D/2,5 = 66 – 72 %; E/3 = 61 – 65 %; FX = 0 – 60 %.  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Výsledky vzdelávania:</w:t>
            </w:r>
            <w:r w:rsidRPr="000D71EF">
              <w:t xml:space="preserve"> </w:t>
            </w:r>
          </w:p>
          <w:p w:rsidR="009167AA" w:rsidRPr="000D71EF" w:rsidRDefault="009167AA" w:rsidP="00AA69D4">
            <w:pPr>
              <w:jc w:val="both"/>
            </w:pPr>
            <w:r w:rsidRPr="000D71EF">
              <w:t>Predmet má poskytnúť študentom systematický prehľad a orientáciu v inštitucionálnom, procesnom a hmotnom práve EÚ tak, aby získané poznatky z výučby predmetu boli základom pre ďalšie štúdium predmetov z práva EÚ, ktoré sú špecializované na jednotlivé parciálne oblasti a sú vyučované na príslušných katedrách.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t>Stručná osnova predmetu:</w:t>
            </w:r>
            <w:r w:rsidRPr="000D71EF">
              <w:t xml:space="preserve"> 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 xml:space="preserve">1. Uplatňovanie a vymáhanie práva EÚ pred vnútroštátnymi súdmi </w:t>
            </w:r>
            <w:r w:rsidR="00F251D3" w:rsidRPr="000D71EF">
              <w:t xml:space="preserve"> - </w:t>
            </w:r>
            <w:r w:rsidRPr="000D71EF">
              <w:t>Prostriedky nápravy a právnej ochrany, ktoré právo EÚ a SR dáva k dispozícii poškodeným subjektom v prípade, keď členský štát poruší právo EÚ, napr. neimplementuje smernicu alebo nesprávne aplikuje nariadenie, zásady konania pred vnútroštátnymi súdmi (aplikačné zásady, národná procesná autonómia v. účinnosť a rovnocennosť atď.).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>2. Občianstvo EÚ</w:t>
            </w:r>
            <w:r w:rsidR="00F251D3" w:rsidRPr="000D71EF">
              <w:t xml:space="preserve"> - </w:t>
            </w:r>
            <w:r w:rsidRPr="000D71EF">
              <w:t xml:space="preserve">Dôvody, ktoré viedli k vytvoreniu občianstva EÚ, vymedzenie okruhu osôb, ktoré spadajú do rozsahu občianstva EÚ a jeho podstatu, t. j. práva vyplývajúce z občianstva EÚ, napr. právo voliť a byť volený do EP, právo na konzulárnu ochranu atď., rozbor najvýznamnejšej judikatúry Súdneho dvora EÚ, napr. Janko </w:t>
            </w:r>
            <w:proofErr w:type="spellStart"/>
            <w:r w:rsidRPr="000D71EF">
              <w:t>Rottman</w:t>
            </w:r>
            <w:proofErr w:type="spellEnd"/>
            <w:r w:rsidRPr="000D71EF">
              <w:t>.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>3</w:t>
            </w:r>
            <w:r w:rsidR="00596B1C" w:rsidRPr="000D71EF">
              <w:t>.</w:t>
            </w:r>
            <w:r w:rsidRPr="000D71EF">
              <w:t xml:space="preserve"> Vnútorný trh EÚ I – voľný pohyb osôb </w:t>
            </w:r>
            <w:r w:rsidR="00F251D3" w:rsidRPr="000D71EF">
              <w:t xml:space="preserve"> - </w:t>
            </w:r>
            <w:r w:rsidRPr="000D71EF">
              <w:t>Voľný pohyb osôb, rozbor kľúčových judikátov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>4. Vnútorný trh EÚ II – voľný pohyb pracovníkov</w:t>
            </w:r>
            <w:r w:rsidR="00F251D3" w:rsidRPr="000D71EF">
              <w:t xml:space="preserve"> - </w:t>
            </w:r>
            <w:r w:rsidRPr="000D71EF">
              <w:t>Voľný pohyb pracovníkov, pojem pracovník, primárne a sekundárne oprávnenia, výnimky, zo zákazu obmedzení, rozbor kľúčových judikátov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 xml:space="preserve">5. Vnútorný trh EÚ III – voľný pohyb pracovníkov - praktické aspekty </w:t>
            </w:r>
            <w:r w:rsidR="00F251D3" w:rsidRPr="000D71EF">
              <w:t xml:space="preserve"> - </w:t>
            </w:r>
            <w:r w:rsidRPr="000D71EF">
              <w:t>Praktické dôsledky situácií, v ktorých občania SR chcú „vycestovať“ za prácou do EÚ, resp. v ktorých sa príslušníci iných členských štátov rozhodnú zamestnať v SR (právo na pobyt, zamestnanie, pracovné podmienky, daňové a odvodové aspekty, práva rodinných príslušníkov, uznávanie kvalifikácie)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 xml:space="preserve">6. Vnútorný trh EÚ IV – voľný pohyb tovaru </w:t>
            </w:r>
            <w:r w:rsidR="00B853E1" w:rsidRPr="000D71EF">
              <w:t xml:space="preserve"> - </w:t>
            </w:r>
            <w:r w:rsidRPr="000D71EF">
              <w:t>Pojem tovaru, tarifné obmedzenia, colná únia, kvantitatívne obmedzenia, výnimky zo zákazu obmedzení, rozbor kľúčových judikátov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>7. Vnútorný trh EÚ V – voľný pohyb služieb</w:t>
            </w:r>
            <w:r w:rsidR="00B853E1" w:rsidRPr="000D71EF">
              <w:t xml:space="preserve"> - </w:t>
            </w:r>
            <w:r w:rsidRPr="000D71EF">
              <w:t>Pojem služby, primárne a sekundárne oprávnenia, výnimky zo zákazu obmedzení, rozbor kľúčových judikátov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 xml:space="preserve">8. Vnútorný trh EÚ VI – sloboda podnikania </w:t>
            </w:r>
            <w:r w:rsidR="00B853E1" w:rsidRPr="000D71EF">
              <w:t xml:space="preserve"> - </w:t>
            </w:r>
            <w:r w:rsidRPr="000D71EF">
              <w:t xml:space="preserve">Pojem podnikania, primárne a sekundárne podnikanie, oprávnenia, výnimky zo zákazu obmedzení, právne možnosti podnikania (organizačná zložka, založenie/účasť na spoločnosti, európske spoločnosti, cezhraničné </w:t>
            </w:r>
            <w:r w:rsidRPr="000D71EF">
              <w:lastRenderedPageBreak/>
              <w:t>zlučovanie/zmena sídla, SZČO).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>9. Vnútorný trh EÚ VII – voľný pohyb kapitálu</w:t>
            </w:r>
            <w:r w:rsidR="00740BE3" w:rsidRPr="000D71EF">
              <w:t xml:space="preserve"> - </w:t>
            </w:r>
            <w:r w:rsidRPr="000D71EF">
              <w:t>Sloboda kapitálu a platieb, nadobúdanie nehnuteľností, majetku, investovanie, ochrana investícií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>10. Ochrana hospodárskej súťaže</w:t>
            </w:r>
            <w:r w:rsidR="00740BE3" w:rsidRPr="000D71EF">
              <w:t xml:space="preserve"> - </w:t>
            </w:r>
            <w:r w:rsidRPr="000D71EF">
              <w:t>Predmetom seminára bude úvod do problematiky európskeho súťažného práva, jednotlivé praktiky a inštitúty súťažného práva (dohody obmedzujúce súťaž, zneužitie dominantného postavenia, fúzie, štátne podpory), pramene súťažného práva. Význam judikatúry v tejto oblasti bude demonštrovaný na vybra</w:t>
            </w:r>
            <w:r w:rsidR="00740BE3" w:rsidRPr="000D71EF">
              <w:t>ných kľúčových rozsudkoch SD EÚ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>11. Vybrané politiky EÚ (obchodná, energetická, politika životného prostredia atď.) I</w:t>
            </w:r>
            <w:r w:rsidR="00740BE3" w:rsidRPr="000D71EF">
              <w:t xml:space="preserve">  -</w:t>
            </w:r>
            <w:r w:rsidRPr="000D71EF">
              <w:t>Cieľom seminára je získať prehľad o ďalších politikách, ktoré dopĺňajú „základné“ politiky slobôd vnútorného trhu, ktoré sú uvedené v Zmluvách, ako aj na jednotlivých prípadoch identifikovať príklady politík, ktoré sa rozvinuli na základe politík vnútorného trhu (napríklad regulácia verejného obstarávania). Dôraz bude kladený na úroveň proporcionality a subsidiarity uplatňovania vybraných politík. Rovnako tiež vzťah medzi jednotlivými politikami.</w:t>
            </w:r>
          </w:p>
          <w:p w:rsidR="009167AA" w:rsidRPr="000D71EF" w:rsidRDefault="009167AA" w:rsidP="00033FC4">
            <w:pPr>
              <w:ind w:left="425" w:hanging="425"/>
              <w:jc w:val="both"/>
              <w:outlineLvl w:val="0"/>
            </w:pPr>
            <w:r w:rsidRPr="000D71EF">
              <w:t>12. Vybrané politiky EÚ (obchodná, energetická, politika životného prostredia, daňová politika, podpora vzdelávania a kultúry atď.) II</w:t>
            </w:r>
          </w:p>
          <w:p w:rsidR="009167AA" w:rsidRPr="000D71EF" w:rsidRDefault="00740BE3" w:rsidP="00033FC4">
            <w:pPr>
              <w:ind w:left="425" w:hanging="425"/>
              <w:jc w:val="both"/>
              <w:outlineLvl w:val="0"/>
            </w:pPr>
            <w:r w:rsidRPr="000D71EF">
              <w:t xml:space="preserve">13. Vonkajšie vzťahy EÚ  -  </w:t>
            </w:r>
            <w:r w:rsidR="009167AA" w:rsidRPr="000D71EF">
              <w:t xml:space="preserve">Seminár sa zameria na otázky spojené s medzinárodnoprávnou subjektivitou EÚ, zastupovanie EÚ vo vzťahu k tretím štátom a medzinárodným organizáciám a vonkajšími právomocami EÚ. </w:t>
            </w:r>
          </w:p>
          <w:p w:rsidR="00412834" w:rsidRPr="000D71EF" w:rsidRDefault="00412834" w:rsidP="00033FC4">
            <w:pPr>
              <w:ind w:left="425" w:hanging="425"/>
              <w:jc w:val="both"/>
            </w:pPr>
            <w:r w:rsidRPr="000D71EF">
              <w:t>14. Špecifické otázky Európskeho práva</w:t>
            </w:r>
          </w:p>
          <w:p w:rsidR="009167AA" w:rsidRPr="000D71EF" w:rsidRDefault="009167AA" w:rsidP="00596B1C">
            <w:pPr>
              <w:numPr>
                <w:ilvl w:val="0"/>
                <w:numId w:val="44"/>
              </w:numPr>
              <w:spacing w:line="276" w:lineRule="auto"/>
              <w:jc w:val="both"/>
            </w:pPr>
            <w:r w:rsidRPr="000D71EF">
              <w:t>Implementácia a aplikácia európskeho práva vo vnútroštátnych podmienkach</w:t>
            </w:r>
          </w:p>
          <w:p w:rsidR="009167AA" w:rsidRPr="000D71EF" w:rsidRDefault="009167AA" w:rsidP="00596B1C">
            <w:pPr>
              <w:numPr>
                <w:ilvl w:val="0"/>
                <w:numId w:val="44"/>
              </w:numPr>
              <w:spacing w:line="276" w:lineRule="auto"/>
              <w:jc w:val="both"/>
            </w:pPr>
            <w:r w:rsidRPr="000D71EF">
              <w:t>Štátna pomoc (samostatná téma)</w:t>
            </w:r>
          </w:p>
          <w:p w:rsidR="009167AA" w:rsidRPr="000D71EF" w:rsidRDefault="009167AA" w:rsidP="00596B1C">
            <w:pPr>
              <w:numPr>
                <w:ilvl w:val="0"/>
                <w:numId w:val="44"/>
              </w:numPr>
              <w:spacing w:line="276" w:lineRule="auto"/>
              <w:jc w:val="both"/>
            </w:pPr>
            <w:r w:rsidRPr="000D71EF">
              <w:t>Spoločná obchodná politika</w:t>
            </w:r>
          </w:p>
          <w:p w:rsidR="009167AA" w:rsidRPr="000D71EF" w:rsidRDefault="009167AA" w:rsidP="00596B1C">
            <w:pPr>
              <w:numPr>
                <w:ilvl w:val="0"/>
                <w:numId w:val="44"/>
              </w:numPr>
              <w:spacing w:line="276" w:lineRule="auto"/>
              <w:jc w:val="both"/>
            </w:pPr>
            <w:r w:rsidRPr="000D71EF">
              <w:t>Konanie pred EK vo veciach hospodárskej súťaže, prípadne iné osobitné procesné postupy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r w:rsidRPr="000D71EF">
              <w:rPr>
                <w:b/>
              </w:rPr>
              <w:lastRenderedPageBreak/>
              <w:t>Odporúčaná literatúra:</w:t>
            </w:r>
            <w:r w:rsidRPr="000D71EF">
              <w:t xml:space="preserve"> </w:t>
            </w:r>
          </w:p>
          <w:p w:rsidR="009167AA" w:rsidRPr="000D71EF" w:rsidRDefault="009167AA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Barnard</w:t>
            </w:r>
            <w:proofErr w:type="spellEnd"/>
            <w:r w:rsidRPr="000D71EF">
              <w:t xml:space="preserve">, C. :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Substantive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EU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Four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Freedoms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2013.</w:t>
            </w:r>
          </w:p>
          <w:p w:rsidR="009167AA" w:rsidRPr="000D71EF" w:rsidRDefault="009167AA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Vivien</w:t>
            </w:r>
            <w:proofErr w:type="spellEnd"/>
            <w:r w:rsidRPr="000D71EF">
              <w:t xml:space="preserve"> Rose, V.—</w:t>
            </w:r>
            <w:proofErr w:type="spellStart"/>
            <w:r w:rsidRPr="000D71EF">
              <w:t>Bailey</w:t>
            </w:r>
            <w:proofErr w:type="spellEnd"/>
            <w:r w:rsidRPr="000D71EF">
              <w:t xml:space="preserve">, D.: </w:t>
            </w:r>
            <w:proofErr w:type="spellStart"/>
            <w:r w:rsidRPr="000D71EF">
              <w:t>Bellamy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Child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Union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Competition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2013.</w:t>
            </w:r>
          </w:p>
          <w:p w:rsidR="009167AA" w:rsidRPr="000D71EF" w:rsidRDefault="009167AA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Ashiagbor</w:t>
            </w:r>
            <w:proofErr w:type="spellEnd"/>
            <w:r w:rsidRPr="000D71EF">
              <w:t xml:space="preserve">, D. – </w:t>
            </w:r>
            <w:proofErr w:type="spellStart"/>
            <w:r w:rsidRPr="000D71EF">
              <w:t>Countouris</w:t>
            </w:r>
            <w:proofErr w:type="spellEnd"/>
            <w:r w:rsidRPr="000D71EF">
              <w:t xml:space="preserve"> , N. – </w:t>
            </w:r>
            <w:proofErr w:type="spellStart"/>
            <w:r w:rsidRPr="000D71EF">
              <w:t>Lianos</w:t>
            </w:r>
            <w:proofErr w:type="spellEnd"/>
            <w:r w:rsidRPr="000D71EF">
              <w:t xml:space="preserve">, I.: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Union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after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Treaty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Lisbon</w:t>
            </w:r>
            <w:proofErr w:type="spellEnd"/>
            <w:r w:rsidRPr="000D71EF">
              <w:t xml:space="preserve">.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2012.</w:t>
            </w:r>
          </w:p>
          <w:p w:rsidR="009167AA" w:rsidRPr="000D71EF" w:rsidRDefault="009167AA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Lenaerts</w:t>
            </w:r>
            <w:proofErr w:type="spellEnd"/>
            <w:r w:rsidRPr="000D71EF">
              <w:t xml:space="preserve">, K. – </w:t>
            </w:r>
            <w:proofErr w:type="spellStart"/>
            <w:r w:rsidRPr="000D71EF">
              <w:t>Van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Nuffel,P</w:t>
            </w:r>
            <w:proofErr w:type="spellEnd"/>
            <w:r w:rsidRPr="000D71EF">
              <w:t xml:space="preserve">.: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Union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Third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, Londýn, </w:t>
            </w:r>
            <w:proofErr w:type="spellStart"/>
            <w:r w:rsidRPr="000D71EF">
              <w:t>Sweet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Maxwell</w:t>
            </w:r>
            <w:proofErr w:type="spellEnd"/>
            <w:r w:rsidRPr="000D71EF">
              <w:t>, 2011.</w:t>
            </w:r>
          </w:p>
          <w:p w:rsidR="009167AA" w:rsidRPr="000D71EF" w:rsidRDefault="009167AA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Craig,P</w:t>
            </w:r>
            <w:proofErr w:type="spellEnd"/>
            <w:r w:rsidRPr="000D71EF">
              <w:t xml:space="preserve">. – </w:t>
            </w:r>
            <w:proofErr w:type="spellStart"/>
            <w:r w:rsidRPr="000D71EF">
              <w:t>de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Búrca</w:t>
            </w:r>
            <w:proofErr w:type="spellEnd"/>
            <w:r w:rsidRPr="000D71EF">
              <w:t xml:space="preserve">, G. :EU LAW, Text, </w:t>
            </w:r>
            <w:proofErr w:type="spellStart"/>
            <w:r w:rsidRPr="000D71EF">
              <w:t>Cases</w:t>
            </w:r>
            <w:proofErr w:type="spellEnd"/>
            <w:r w:rsidRPr="000D71EF">
              <w:t xml:space="preserve">, and </w:t>
            </w:r>
            <w:proofErr w:type="spellStart"/>
            <w:r w:rsidRPr="000D71EF">
              <w:t>Materials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Fifth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. 2011, New York,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Press.</w:t>
            </w:r>
          </w:p>
          <w:p w:rsidR="009167AA" w:rsidRPr="000D71EF" w:rsidRDefault="009167AA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Woods</w:t>
            </w:r>
            <w:proofErr w:type="spellEnd"/>
            <w:r w:rsidRPr="000D71EF">
              <w:t xml:space="preserve">, L. – </w:t>
            </w:r>
            <w:proofErr w:type="spellStart"/>
            <w:r w:rsidRPr="000D71EF">
              <w:t>Watson</w:t>
            </w:r>
            <w:proofErr w:type="spellEnd"/>
            <w:r w:rsidRPr="000D71EF">
              <w:t xml:space="preserve">, P.: EU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2012</w:t>
            </w:r>
          </w:p>
          <w:p w:rsidR="009167AA" w:rsidRPr="000D71EF" w:rsidRDefault="009167AA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Chalmers</w:t>
            </w:r>
            <w:proofErr w:type="spellEnd"/>
            <w:r w:rsidRPr="000D71EF">
              <w:t xml:space="preserve">, D. – </w:t>
            </w:r>
            <w:proofErr w:type="spellStart"/>
            <w:r w:rsidRPr="000D71EF">
              <w:t>Davies</w:t>
            </w:r>
            <w:proofErr w:type="spellEnd"/>
            <w:r w:rsidRPr="000D71EF">
              <w:t xml:space="preserve">, G.— </w:t>
            </w:r>
            <w:proofErr w:type="spellStart"/>
            <w:r w:rsidRPr="000D71EF">
              <w:t>Monti</w:t>
            </w:r>
            <w:proofErr w:type="spellEnd"/>
            <w:r w:rsidRPr="000D71EF">
              <w:t xml:space="preserve">, G.: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Union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,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2010</w:t>
            </w:r>
          </w:p>
          <w:p w:rsidR="009167AA" w:rsidRPr="000D71EF" w:rsidRDefault="009167AA" w:rsidP="00596B1C">
            <w:pPr>
              <w:autoSpaceDE w:val="0"/>
              <w:autoSpaceDN w:val="0"/>
              <w:adjustRightInd w:val="0"/>
            </w:pPr>
            <w:proofErr w:type="spellStart"/>
            <w:r w:rsidRPr="000D71EF">
              <w:t>Weatherill</w:t>
            </w:r>
            <w:proofErr w:type="spellEnd"/>
            <w:r w:rsidRPr="000D71EF">
              <w:t xml:space="preserve">, S.: </w:t>
            </w:r>
            <w:proofErr w:type="spellStart"/>
            <w:r w:rsidRPr="000D71EF">
              <w:t>Cases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Materials</w:t>
            </w:r>
            <w:proofErr w:type="spellEnd"/>
            <w:r w:rsidRPr="000D71EF">
              <w:t xml:space="preserve"> on EU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2012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596B1C">
            <w:r w:rsidRPr="000D71EF">
              <w:rPr>
                <w:b/>
              </w:rPr>
              <w:t>Jazyk, ktorého znalosť je potrebná na absolvovanie predmetu:</w:t>
            </w:r>
            <w:r w:rsidRPr="000D71EF">
              <w:t xml:space="preserve"> anglický 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jc w:val="both"/>
            </w:pPr>
            <w:r w:rsidRPr="000D71EF">
              <w:rPr>
                <w:b/>
              </w:rPr>
              <w:t>Poznámky:</w:t>
            </w:r>
            <w:r w:rsidRPr="000D71EF">
              <w:t xml:space="preserve"> 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rPr>
                <w:b/>
              </w:rPr>
            </w:pPr>
            <w:r w:rsidRPr="000D71EF">
              <w:rPr>
                <w:b/>
              </w:rPr>
              <w:t>Hodnotenie predmetov</w:t>
            </w:r>
          </w:p>
          <w:p w:rsidR="009167AA" w:rsidRPr="000D71EF" w:rsidRDefault="009167AA" w:rsidP="00AA69D4">
            <w:r w:rsidRPr="000D71EF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9167AA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9167AA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7AA" w:rsidRPr="000D71EF" w:rsidRDefault="009167AA" w:rsidP="00AA69D4">
                  <w:pPr>
                    <w:jc w:val="center"/>
                  </w:pPr>
                </w:p>
              </w:tc>
            </w:tr>
          </w:tbl>
          <w:p w:rsidR="009167AA" w:rsidRPr="000D71EF" w:rsidRDefault="009167AA" w:rsidP="00AA69D4"/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4D5F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0D71EF">
              <w:rPr>
                <w:b/>
              </w:rPr>
              <w:t>Vyučujúci:</w:t>
            </w:r>
            <w:r w:rsidRPr="000D71EF">
              <w:t xml:space="preserve"> Ing. Mgr. Ondrej </w:t>
            </w:r>
            <w:proofErr w:type="spellStart"/>
            <w:r w:rsidRPr="000D71EF">
              <w:t>Blažo</w:t>
            </w:r>
            <w:proofErr w:type="spellEnd"/>
            <w:r w:rsidRPr="000D71EF">
              <w:t xml:space="preserve">, PhD., Mgr. Kristína Považanová, JUDr. Daniela Ježová, </w:t>
            </w:r>
            <w:r w:rsidRPr="000D71EF">
              <w:lastRenderedPageBreak/>
              <w:t>PhD., LL.M.</w:t>
            </w:r>
            <w:r w:rsidR="005D0D82" w:rsidRPr="000D71EF">
              <w:t xml:space="preserve">, </w:t>
            </w:r>
            <w:r w:rsidR="005D0D82" w:rsidRPr="000D71EF">
              <w:t xml:space="preserve">JUDr. Hana </w:t>
            </w:r>
            <w:proofErr w:type="spellStart"/>
            <w:r w:rsidR="005D0D82" w:rsidRPr="000D71EF">
              <w:t>Kováčiková</w:t>
            </w:r>
            <w:proofErr w:type="spellEnd"/>
            <w:r w:rsidR="005D0D82" w:rsidRPr="000D71EF">
              <w:t>, PhD.</w:t>
            </w:r>
            <w:r w:rsidRPr="000D71EF">
              <w:t xml:space="preserve"> </w:t>
            </w:r>
            <w:r w:rsidRPr="000D71EF">
              <w:rPr>
                <w:rFonts w:eastAsiaTheme="minorHAnsi"/>
                <w:lang w:eastAsia="en-US"/>
              </w:rPr>
              <w:t xml:space="preserve">a ďalší členovia </w:t>
            </w:r>
            <w:r w:rsidRPr="000D71EF">
              <w:t>ÚEP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lastRenderedPageBreak/>
              <w:t>Dátum poslednej zmeny:</w:t>
            </w:r>
            <w:r w:rsidRPr="000D71EF">
              <w:t xml:space="preserve"> </w:t>
            </w:r>
          </w:p>
        </w:tc>
      </w:tr>
      <w:tr w:rsidR="009167AA" w:rsidRPr="000D71EF" w:rsidTr="00AA69D4">
        <w:tc>
          <w:tcPr>
            <w:tcW w:w="9322" w:type="dxa"/>
            <w:gridSpan w:val="2"/>
          </w:tcPr>
          <w:p w:rsidR="009167AA" w:rsidRPr="000D71EF" w:rsidRDefault="009167AA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Schválil:</w:t>
            </w:r>
            <w:r w:rsidRPr="000D71EF">
              <w:t xml:space="preserve"> </w:t>
            </w:r>
          </w:p>
        </w:tc>
      </w:tr>
    </w:tbl>
    <w:p w:rsidR="009167AA" w:rsidRPr="000D71EF" w:rsidRDefault="009167AA" w:rsidP="009167AA">
      <w:pPr>
        <w:ind w:left="720"/>
        <w:jc w:val="both"/>
      </w:pPr>
    </w:p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9167AA"/>
    <w:p w:rsidR="009167AA" w:rsidRPr="000D71EF" w:rsidRDefault="009167AA" w:rsidP="00486C70"/>
    <w:p w:rsidR="009167AA" w:rsidRPr="000D71EF" w:rsidRDefault="009167AA" w:rsidP="00486C70"/>
    <w:p w:rsidR="009167AA" w:rsidRPr="000D71EF" w:rsidRDefault="009167AA" w:rsidP="00486C70"/>
    <w:p w:rsidR="00A209A1" w:rsidRPr="000D71EF" w:rsidRDefault="00A209A1" w:rsidP="00AA69D4">
      <w:pPr>
        <w:ind w:left="720"/>
        <w:jc w:val="right"/>
      </w:pPr>
    </w:p>
    <w:p w:rsidR="008358D1" w:rsidRPr="000D71EF" w:rsidRDefault="008358D1" w:rsidP="00AA69D4">
      <w:pPr>
        <w:ind w:left="720"/>
        <w:jc w:val="right"/>
      </w:pPr>
    </w:p>
    <w:p w:rsidR="004D5FCB" w:rsidRPr="000D71EF" w:rsidRDefault="004D5FCB" w:rsidP="00AA69D4">
      <w:pPr>
        <w:ind w:left="720"/>
        <w:jc w:val="right"/>
      </w:pPr>
    </w:p>
    <w:p w:rsidR="004D5FCB" w:rsidRPr="000D71EF" w:rsidRDefault="004D5FCB" w:rsidP="00AA69D4">
      <w:pPr>
        <w:ind w:left="720"/>
        <w:jc w:val="right"/>
      </w:pPr>
    </w:p>
    <w:p w:rsidR="004D5FCB" w:rsidRPr="000D71EF" w:rsidRDefault="004D5FCB" w:rsidP="00AA69D4">
      <w:pPr>
        <w:ind w:left="720"/>
        <w:jc w:val="right"/>
      </w:pPr>
    </w:p>
    <w:p w:rsidR="00AA69D4" w:rsidRPr="000D71EF" w:rsidRDefault="00AA69D4" w:rsidP="00AA69D4">
      <w:pPr>
        <w:ind w:left="720"/>
        <w:jc w:val="right"/>
      </w:pPr>
      <w:r w:rsidRPr="000D71EF">
        <w:lastRenderedPageBreak/>
        <w:t>Informačný list predmetu</w:t>
      </w: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Vysoká škola:</w:t>
            </w:r>
            <w:r w:rsidRPr="000D71EF">
              <w:t xml:space="preserve"> Univerzita Komenského v Bratislave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Fakulta:</w:t>
            </w:r>
            <w:r w:rsidRPr="000D71EF">
              <w:t xml:space="preserve"> Právnická fakulta</w:t>
            </w:r>
          </w:p>
        </w:tc>
      </w:tr>
      <w:tr w:rsidR="00AA69D4" w:rsidRPr="000D71EF" w:rsidTr="00AA69D4">
        <w:tc>
          <w:tcPr>
            <w:tcW w:w="4110" w:type="dxa"/>
          </w:tcPr>
          <w:p w:rsidR="00AA69D4" w:rsidRPr="000D71EF" w:rsidRDefault="00AA69D4" w:rsidP="00AA69D4">
            <w:r w:rsidRPr="000D71EF">
              <w:rPr>
                <w:b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5212" w:type="dxa"/>
          </w:tcPr>
          <w:p w:rsidR="00AA69D4" w:rsidRPr="000D71EF" w:rsidRDefault="00AA69D4" w:rsidP="00AA69D4">
            <w:pPr>
              <w:rPr>
                <w:b/>
              </w:rPr>
            </w:pPr>
            <w:r w:rsidRPr="000D71EF">
              <w:rPr>
                <w:b/>
              </w:rPr>
              <w:t xml:space="preserve">Názov predmetu: </w:t>
            </w:r>
            <w:r w:rsidRPr="000D71EF">
              <w:rPr>
                <w:i/>
              </w:rPr>
              <w:t>Medzinárodné právo súkromné 2</w:t>
            </w:r>
            <w:r w:rsidRPr="000D71EF">
              <w:rPr>
                <w:b/>
              </w:rPr>
              <w:t xml:space="preserve"> </w:t>
            </w:r>
          </w:p>
        </w:tc>
      </w:tr>
      <w:tr w:rsidR="00AA69D4" w:rsidRPr="000D71EF" w:rsidTr="00AA69D4">
        <w:trPr>
          <w:trHeight w:val="1110"/>
        </w:trPr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Druh, rozsah a metóda vzdelávacích činností:</w:t>
            </w:r>
            <w:r w:rsidRPr="000D71EF">
              <w:t xml:space="preserve"> </w:t>
            </w:r>
          </w:p>
          <w:p w:rsidR="00AA69D4" w:rsidRPr="000D71EF" w:rsidRDefault="00AA69D4" w:rsidP="00AA69D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D71EF">
              <w:rPr>
                <w:rFonts w:eastAsiaTheme="minorHAnsi"/>
                <w:lang w:eastAsia="en-US"/>
              </w:rPr>
              <w:t>Denná forma štúdia: 1 hodina prednášok a 2 hodiny seminárov týždenne, spolu 42 hodín za semester, prezenčná metóda</w:t>
            </w:r>
          </w:p>
          <w:p w:rsidR="00AA69D4" w:rsidRPr="000D71EF" w:rsidRDefault="00AA69D4" w:rsidP="00AA69D4"/>
        </w:tc>
      </w:tr>
      <w:tr w:rsidR="00AA69D4" w:rsidRPr="000D71EF" w:rsidTr="00AA69D4">
        <w:trPr>
          <w:trHeight w:val="286"/>
        </w:trPr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Počet kreditov:</w:t>
            </w:r>
            <w:r w:rsidRPr="000D71EF">
              <w:t xml:space="preserve"> 5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Odporúčaný semester štúdia:</w:t>
            </w:r>
            <w:r w:rsidRPr="000D71EF">
              <w:t xml:space="preserve"> 2. semester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Stupeň štúdia:</w:t>
            </w:r>
            <w:r w:rsidRPr="000D71EF">
              <w:t xml:space="preserve"> 2. </w:t>
            </w:r>
            <w:r w:rsidR="00405BCD" w:rsidRPr="000D71EF">
              <w:t>stupeň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Podmieňujúce predmety:</w:t>
            </w:r>
            <w:r w:rsidRPr="000D71EF">
              <w:t xml:space="preserve">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pPr>
              <w:rPr>
                <w:b/>
              </w:rPr>
            </w:pPr>
            <w:r w:rsidRPr="000D71EF">
              <w:rPr>
                <w:b/>
              </w:rPr>
              <w:t xml:space="preserve">Podmienky na absolvovanie predmetu: </w:t>
            </w:r>
          </w:p>
          <w:p w:rsidR="0022493F" w:rsidRPr="000D71EF" w:rsidRDefault="0022493F" w:rsidP="0022493F">
            <w:r w:rsidRPr="000D71EF">
              <w:t xml:space="preserve">Priebežné hodnotenie: 40 %  </w:t>
            </w:r>
          </w:p>
          <w:p w:rsidR="0022493F" w:rsidRPr="000D71EF" w:rsidRDefault="0022493F" w:rsidP="0022493F">
            <w:r w:rsidRPr="000D71EF">
              <w:t>Záverečná ústna skúška: 60 %</w:t>
            </w:r>
          </w:p>
          <w:p w:rsidR="00AA69D4" w:rsidRPr="000D71EF" w:rsidRDefault="0022493F" w:rsidP="0022493F">
            <w:r w:rsidRPr="000D71EF">
              <w:t xml:space="preserve">Klasifikačná stupnica: A/1 = 91 – 100 %; B/1,5 = 81 – 90 %; C/2 = 73 – 80 %; D/2,5 = 66 – 72 %; E/3 = 61 – 65 %; FX = 0 – 60 %. 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Výsledky vzdelávania:</w:t>
            </w:r>
            <w:r w:rsidRPr="000D71EF">
              <w:t xml:space="preserve"> </w:t>
            </w:r>
          </w:p>
          <w:p w:rsidR="00AA69D4" w:rsidRPr="000D71EF" w:rsidRDefault="00AA69D4" w:rsidP="00AA69D4">
            <w:pPr>
              <w:jc w:val="both"/>
            </w:pPr>
            <w:r w:rsidRPr="000D71EF">
              <w:t>Predmet má poskytnúť študentom systematický prehľad a orientáciu v problematike riešenia súkromnoprávnych vzťahov s cudzím prvkom. Výber rozhodného práva. Procesné pravidlá pre konanie o súkromnoprávnych vzťahoch s cudzím prvkom a uznanie a výkon rozhodnutí v členení podľa štatútov.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Stručná osnova predmetu:</w:t>
            </w:r>
            <w:r w:rsidRPr="000D71EF">
              <w:t xml:space="preserve"> 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 xml:space="preserve">Štatúty a ich miesto v medzinárodnom práve súkromnom. 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 xml:space="preserve">Osobný štatút v medzinárodnom práve súkromnom – FO, PO, – rozhodné právo, právomoc, , uznanie a výkon cudzích rozhodnutí 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>Vecný štatút v MPS – právomoc, rozhodné právo, uznávanie a výkon cudzích rozhodnutí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>Majetkové vzťahy s cudzím prvkom, zmluvné a mimozmluvné vzťahy v MPS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>Majetkové vzťahy s cudzím prvkom, zmluvné a mimozmluvné vzťahy v MPS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>Spotrebiteľské zmluvy v MPS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>Pracovnoprávny štatút v MPS, právomoc, rozhodné právo, uznávanie a výkon rozhodnutí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>Dedičský štatút – právomoc, rozhodné právo, uznanie a výkon cudzích rozhodnutí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>Dedičský štatút II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>Rodinný štatút – vzťahy medzi manželmi - právomoc, rozhodné právo, uznanie a výkon cudzích rozhodnutí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>Rodinný štatút – vzťahy medzi rodičmi a deťmi - právomoc, rozhodné právo, uznanie a výkon cudzích rozhodnutí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>Rodinný štatút – vzťahy medzi rodičmi a deťmi - právomoc, rozhodné právo, uznanie a výkon cudzích rozhodnutí II</w:t>
            </w:r>
          </w:p>
          <w:p w:rsidR="00AA69D4" w:rsidRPr="000D71EF" w:rsidRDefault="00AA69D4" w:rsidP="00A00015">
            <w:pPr>
              <w:numPr>
                <w:ilvl w:val="0"/>
                <w:numId w:val="7"/>
              </w:numPr>
              <w:ind w:left="425" w:hanging="425"/>
              <w:jc w:val="both"/>
            </w:pPr>
            <w:r w:rsidRPr="000D71EF">
              <w:t>Rodinný štatút – vyživovacia povinnosť - právomoc, rozhodné právo, uznanie a výkon cudzích rozhodnutí</w:t>
            </w:r>
          </w:p>
          <w:p w:rsidR="00AA69D4" w:rsidRPr="000D71EF" w:rsidRDefault="00AA69D4" w:rsidP="0022493F">
            <w:pPr>
              <w:numPr>
                <w:ilvl w:val="0"/>
                <w:numId w:val="7"/>
              </w:numPr>
              <w:ind w:left="425" w:hanging="425"/>
              <w:jc w:val="both"/>
            </w:pPr>
            <w:proofErr w:type="spellStart"/>
            <w:r w:rsidRPr="000D71EF">
              <w:t>Repetitórium</w:t>
            </w:r>
            <w:proofErr w:type="spellEnd"/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Odporúčaná literatúra:</w:t>
            </w:r>
            <w:r w:rsidRPr="000D71EF">
              <w:t xml:space="preserve"> </w:t>
            </w:r>
          </w:p>
          <w:p w:rsidR="00AA69D4" w:rsidRPr="000D71EF" w:rsidRDefault="00AA69D4" w:rsidP="00AA69D4">
            <w:r w:rsidRPr="000D71EF">
              <w:t xml:space="preserve">ROGERSON, P. -  COLLIER, J.: </w:t>
            </w:r>
            <w:proofErr w:type="spellStart"/>
            <w:r w:rsidRPr="000D71EF">
              <w:t>Conflict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of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Laws</w:t>
            </w:r>
            <w:proofErr w:type="spellEnd"/>
            <w:r w:rsidRPr="000D71EF">
              <w:t xml:space="preserve">. 4th </w:t>
            </w:r>
            <w:proofErr w:type="spellStart"/>
            <w:r w:rsidRPr="000D71EF">
              <w:t>Revised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, </w:t>
            </w:r>
            <w:r w:rsidRPr="000D71EF">
              <w:rPr>
                <w:b/>
                <w:bCs/>
              </w:rPr>
              <w:t xml:space="preserve"> </w:t>
            </w:r>
            <w:hyperlink r:id="rId20" w:tooltip="Search for other titles from this publisher" w:history="1">
              <w:r w:rsidRPr="000D71EF">
                <w:t xml:space="preserve">Cambridge </w:t>
              </w:r>
              <w:proofErr w:type="spellStart"/>
              <w:r w:rsidRPr="000D71EF">
                <w:t>University</w:t>
              </w:r>
              <w:proofErr w:type="spellEnd"/>
              <w:r w:rsidRPr="000D71EF">
                <w:t xml:space="preserve"> Press</w:t>
              </w:r>
            </w:hyperlink>
            <w:r w:rsidRPr="000D71EF">
              <w:t xml:space="preserve">, </w:t>
            </w:r>
            <w:r w:rsidRPr="000D71EF">
              <w:rPr>
                <w:bCs/>
              </w:rPr>
              <w:t xml:space="preserve">ISBN </w:t>
            </w:r>
            <w:r w:rsidRPr="000D71EF">
              <w:t>9780521735056</w:t>
            </w:r>
            <w:r w:rsidRPr="000D71EF">
              <w:br/>
              <w:t xml:space="preserve">BOGDAN, M. – MAUNSBACH, U.: EU </w:t>
            </w:r>
            <w:proofErr w:type="spellStart"/>
            <w:r w:rsidRPr="000D71EF">
              <w:t>Private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An</w:t>
            </w:r>
            <w:proofErr w:type="spellEnd"/>
            <w:r w:rsidRPr="000D71EF">
              <w:t xml:space="preserve"> ECJ </w:t>
            </w:r>
            <w:proofErr w:type="spellStart"/>
            <w:r w:rsidRPr="000D71EF">
              <w:t>Casebook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Europa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Publishing</w:t>
            </w:r>
            <w:proofErr w:type="spellEnd"/>
            <w:r w:rsidRPr="000D71EF">
              <w:t>, 2012, ISBN 978 908 952 20005</w:t>
            </w:r>
          </w:p>
          <w:p w:rsidR="00AA69D4" w:rsidRPr="000D71EF" w:rsidRDefault="00AA69D4" w:rsidP="00AA69D4">
            <w:pPr>
              <w:autoSpaceDE w:val="0"/>
              <w:autoSpaceDN w:val="0"/>
              <w:adjustRightInd w:val="0"/>
            </w:pPr>
            <w:r w:rsidRPr="000D71EF">
              <w:lastRenderedPageBreak/>
              <w:t xml:space="preserve">BOGDAN, M.: </w:t>
            </w:r>
            <w:proofErr w:type="spellStart"/>
            <w:r w:rsidRPr="000D71EF">
              <w:t>Concise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Introduction</w:t>
            </w:r>
            <w:proofErr w:type="spellEnd"/>
            <w:r w:rsidRPr="000D71EF">
              <w:t xml:space="preserve"> to EU </w:t>
            </w:r>
            <w:proofErr w:type="spellStart"/>
            <w:r w:rsidRPr="000D71EF">
              <w:t>Private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Europa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Publi</w:t>
            </w:r>
            <w:r w:rsidR="0022493F" w:rsidRPr="000D71EF">
              <w:t>shing</w:t>
            </w:r>
            <w:proofErr w:type="spellEnd"/>
            <w:r w:rsidR="0022493F" w:rsidRPr="000D71EF">
              <w:t>, 2012, ISBN 9789089521088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lastRenderedPageBreak/>
              <w:t>Jazyk, ktorého znalosť je potrebná na absolvovanie predmetu:</w:t>
            </w:r>
            <w:r w:rsidR="0022493F" w:rsidRPr="000D71EF">
              <w:t xml:space="preserve"> </w:t>
            </w:r>
            <w:r w:rsidRPr="000D71EF">
              <w:t xml:space="preserve">anglický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pPr>
              <w:jc w:val="both"/>
            </w:pPr>
            <w:r w:rsidRPr="000D71EF">
              <w:rPr>
                <w:b/>
              </w:rPr>
              <w:t>Poznámky:</w:t>
            </w:r>
            <w:r w:rsidRPr="000D71EF">
              <w:t xml:space="preserve">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pPr>
              <w:rPr>
                <w:b/>
              </w:rPr>
            </w:pPr>
            <w:r w:rsidRPr="000D71EF">
              <w:rPr>
                <w:b/>
              </w:rPr>
              <w:t>Hodnotenie predmetov</w:t>
            </w:r>
          </w:p>
          <w:p w:rsidR="00AA69D4" w:rsidRPr="000D71EF" w:rsidRDefault="00AA69D4" w:rsidP="00AA69D4">
            <w:r w:rsidRPr="000D71EF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AA69D4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AA69D4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</w:tr>
          </w:tbl>
          <w:p w:rsidR="00AA69D4" w:rsidRPr="000D71EF" w:rsidRDefault="00AA69D4" w:rsidP="00AA69D4"/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0D71EF">
              <w:rPr>
                <w:b/>
              </w:rPr>
              <w:t>Vyučujúci:</w:t>
            </w:r>
            <w:r w:rsidRPr="000D71EF">
              <w:t xml:space="preserve"> </w:t>
            </w:r>
          </w:p>
          <w:p w:rsidR="00AA69D4" w:rsidRPr="000D71EF" w:rsidRDefault="00AA69D4" w:rsidP="00AA69D4">
            <w:pPr>
              <w:tabs>
                <w:tab w:val="left" w:pos="1530"/>
              </w:tabs>
            </w:pPr>
            <w:r w:rsidRPr="000D71EF">
              <w:t xml:space="preserve">JUDr. Miroslava </w:t>
            </w:r>
            <w:proofErr w:type="spellStart"/>
            <w:r w:rsidRPr="000D71EF">
              <w:t>Vozáryová</w:t>
            </w:r>
            <w:proofErr w:type="spellEnd"/>
            <w:r w:rsidRPr="000D71EF">
              <w:t xml:space="preserve">, PhD., JUDr. Katarína </w:t>
            </w:r>
            <w:proofErr w:type="spellStart"/>
            <w:r w:rsidRPr="000D71EF">
              <w:t>Burdová</w:t>
            </w:r>
            <w:proofErr w:type="spellEnd"/>
            <w:r w:rsidRPr="000D71EF">
              <w:t xml:space="preserve"> </w:t>
            </w:r>
            <w:r w:rsidRPr="000D71EF">
              <w:rPr>
                <w:rFonts w:eastAsiaTheme="minorHAnsi"/>
                <w:lang w:eastAsia="en-US"/>
              </w:rPr>
              <w:t xml:space="preserve">a ďalší členovia </w:t>
            </w:r>
            <w:proofErr w:type="spellStart"/>
            <w:r w:rsidRPr="000D71EF">
              <w:rPr>
                <w:rFonts w:eastAsiaTheme="minorHAnsi"/>
                <w:lang w:eastAsia="en-US"/>
              </w:rPr>
              <w:t>KMPaMV</w:t>
            </w:r>
            <w:proofErr w:type="spellEnd"/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Dátum poslednej zmeny:</w:t>
            </w:r>
            <w:r w:rsidRPr="000D71EF">
              <w:t xml:space="preserve">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Schválil:</w:t>
            </w:r>
            <w:r w:rsidRPr="000D71EF">
              <w:t xml:space="preserve"> </w:t>
            </w:r>
          </w:p>
        </w:tc>
      </w:tr>
    </w:tbl>
    <w:p w:rsidR="00AA69D4" w:rsidRPr="000D71EF" w:rsidRDefault="00AA69D4" w:rsidP="00486C70"/>
    <w:p w:rsidR="00AA69D4" w:rsidRPr="000D71EF" w:rsidRDefault="00AA69D4" w:rsidP="00486C70"/>
    <w:p w:rsidR="00AA69D4" w:rsidRPr="000D71EF" w:rsidRDefault="00AA69D4" w:rsidP="00486C70"/>
    <w:p w:rsidR="00AA69D4" w:rsidRPr="000D71EF" w:rsidRDefault="00AA69D4" w:rsidP="00486C70"/>
    <w:p w:rsidR="00AA69D4" w:rsidRPr="000D71EF" w:rsidRDefault="00AA69D4" w:rsidP="00486C70"/>
    <w:p w:rsidR="00616923" w:rsidRPr="000D71EF" w:rsidRDefault="00616923" w:rsidP="00486C70"/>
    <w:p w:rsidR="00616923" w:rsidRPr="000D71EF" w:rsidRDefault="00616923" w:rsidP="00486C70"/>
    <w:p w:rsidR="00616923" w:rsidRPr="000D71EF" w:rsidRDefault="00616923" w:rsidP="00486C70"/>
    <w:p w:rsidR="00616923" w:rsidRPr="000D71EF" w:rsidRDefault="00616923" w:rsidP="00486C70"/>
    <w:p w:rsidR="00616923" w:rsidRPr="000D71EF" w:rsidRDefault="00616923" w:rsidP="00486C70"/>
    <w:p w:rsidR="00616923" w:rsidRPr="000D71EF" w:rsidRDefault="00616923" w:rsidP="00486C70"/>
    <w:p w:rsidR="00616923" w:rsidRPr="000D71EF" w:rsidRDefault="00616923" w:rsidP="00486C70"/>
    <w:p w:rsidR="00616923" w:rsidRPr="000D71EF" w:rsidRDefault="00616923" w:rsidP="00486C70"/>
    <w:p w:rsidR="00616923" w:rsidRPr="000D71EF" w:rsidRDefault="00616923" w:rsidP="00486C70"/>
    <w:p w:rsidR="0022493F" w:rsidRPr="000D71EF" w:rsidRDefault="0022493F" w:rsidP="00AA69D4">
      <w:pPr>
        <w:ind w:left="720"/>
        <w:jc w:val="right"/>
      </w:pPr>
    </w:p>
    <w:p w:rsidR="0022493F" w:rsidRPr="000D71EF" w:rsidRDefault="0022493F" w:rsidP="00AA69D4">
      <w:pPr>
        <w:ind w:left="720"/>
        <w:jc w:val="right"/>
      </w:pPr>
    </w:p>
    <w:p w:rsidR="0022493F" w:rsidRPr="000D71EF" w:rsidRDefault="0022493F" w:rsidP="00AA69D4">
      <w:pPr>
        <w:ind w:left="720"/>
        <w:jc w:val="right"/>
      </w:pPr>
    </w:p>
    <w:p w:rsidR="0022493F" w:rsidRPr="000D71EF" w:rsidRDefault="0022493F" w:rsidP="00AA69D4">
      <w:pPr>
        <w:ind w:left="720"/>
        <w:jc w:val="right"/>
      </w:pPr>
    </w:p>
    <w:p w:rsidR="004D5FCB" w:rsidRPr="000D71EF" w:rsidRDefault="004D5FCB" w:rsidP="00AA69D4">
      <w:pPr>
        <w:ind w:left="720"/>
        <w:jc w:val="right"/>
      </w:pPr>
    </w:p>
    <w:p w:rsidR="004D5FCB" w:rsidRPr="000D71EF" w:rsidRDefault="004D5FCB" w:rsidP="00AA69D4">
      <w:pPr>
        <w:ind w:left="720"/>
        <w:jc w:val="right"/>
      </w:pPr>
    </w:p>
    <w:p w:rsidR="00AA69D4" w:rsidRPr="000D71EF" w:rsidRDefault="00AA69D4" w:rsidP="00AA69D4">
      <w:pPr>
        <w:ind w:left="720"/>
        <w:jc w:val="right"/>
      </w:pPr>
      <w:r w:rsidRPr="000D71EF">
        <w:lastRenderedPageBreak/>
        <w:t>Informačný list predmetu</w:t>
      </w: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Vysoká škola:</w:t>
            </w:r>
            <w:r w:rsidRPr="000D71EF">
              <w:t xml:space="preserve"> Univerzita Komenského v Bratislave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Fakulta:</w:t>
            </w:r>
            <w:r w:rsidRPr="000D71EF">
              <w:t xml:space="preserve"> Právnická fakulta</w:t>
            </w:r>
          </w:p>
        </w:tc>
      </w:tr>
      <w:tr w:rsidR="00AA69D4" w:rsidRPr="000D71EF" w:rsidTr="00AA69D4">
        <w:tc>
          <w:tcPr>
            <w:tcW w:w="4110" w:type="dxa"/>
          </w:tcPr>
          <w:p w:rsidR="00AA69D4" w:rsidRPr="000D71EF" w:rsidRDefault="00AA69D4" w:rsidP="00AA69D4">
            <w:r w:rsidRPr="000D71EF">
              <w:rPr>
                <w:b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5212" w:type="dxa"/>
          </w:tcPr>
          <w:p w:rsidR="00AA69D4" w:rsidRPr="000D71EF" w:rsidRDefault="00AA69D4" w:rsidP="00F557F7">
            <w:pPr>
              <w:rPr>
                <w:b/>
              </w:rPr>
            </w:pPr>
            <w:r w:rsidRPr="000D71EF">
              <w:rPr>
                <w:b/>
              </w:rPr>
              <w:t xml:space="preserve">Názov predmetu: </w:t>
            </w:r>
            <w:r w:rsidR="00F557F7" w:rsidRPr="000D71EF">
              <w:rPr>
                <w:i/>
              </w:rPr>
              <w:t>Európske s</w:t>
            </w:r>
            <w:r w:rsidRPr="000D71EF">
              <w:rPr>
                <w:i/>
              </w:rPr>
              <w:t>úťažné právo a štátna pomoc</w:t>
            </w:r>
          </w:p>
        </w:tc>
      </w:tr>
      <w:tr w:rsidR="00AA69D4" w:rsidRPr="000D71EF" w:rsidTr="00AA69D4">
        <w:trPr>
          <w:trHeight w:val="1110"/>
        </w:trPr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Druh, rozsah a metóda vzdelávacích činností:</w:t>
            </w:r>
            <w:r w:rsidRPr="000D71EF">
              <w:t xml:space="preserve"> </w:t>
            </w:r>
          </w:p>
          <w:p w:rsidR="00AA69D4" w:rsidRPr="000D71EF" w:rsidRDefault="00431AF9" w:rsidP="00431AF9">
            <w:r w:rsidRPr="000D71EF">
              <w:rPr>
                <w:rFonts w:eastAsiaTheme="minorHAnsi"/>
                <w:lang w:eastAsia="en-US"/>
              </w:rPr>
              <w:t>Denná forma štúdia: 2 hodiny prednášok a 2 hodiny seminárov týždenne, spolu 56 hodín za semester, prezenčná metóda</w:t>
            </w:r>
          </w:p>
        </w:tc>
      </w:tr>
      <w:tr w:rsidR="00AA69D4" w:rsidRPr="000D71EF" w:rsidTr="00AA69D4">
        <w:trPr>
          <w:trHeight w:val="286"/>
        </w:trPr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Počet kreditov:</w:t>
            </w:r>
            <w:r w:rsidRPr="000D71EF">
              <w:t xml:space="preserve"> 6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Odporúčaný semester štúdia:</w:t>
            </w:r>
            <w:r w:rsidRPr="000D71EF">
              <w:t xml:space="preserve"> 3. semester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Stupeň štúdia:</w:t>
            </w:r>
            <w:r w:rsidRPr="000D71EF">
              <w:t xml:space="preserve"> 2.</w:t>
            </w:r>
            <w:r w:rsidR="007733EF" w:rsidRPr="000D71EF">
              <w:t xml:space="preserve"> stupeň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Podmieňujúce predmety:</w:t>
            </w:r>
            <w:r w:rsidRPr="000D71EF">
              <w:t xml:space="preserve">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pPr>
              <w:rPr>
                <w:b/>
              </w:rPr>
            </w:pPr>
            <w:r w:rsidRPr="000D71EF">
              <w:rPr>
                <w:b/>
              </w:rPr>
              <w:t xml:space="preserve">Podmienky na absolvovanie predmetu: </w:t>
            </w:r>
          </w:p>
          <w:p w:rsidR="0022493F" w:rsidRPr="000D71EF" w:rsidRDefault="00AA69D4" w:rsidP="00AA69D4">
            <w:pPr>
              <w:rPr>
                <w:iCs/>
              </w:rPr>
            </w:pPr>
            <w:r w:rsidRPr="000D71EF">
              <w:rPr>
                <w:iCs/>
              </w:rPr>
              <w:t xml:space="preserve">Priebežné </w:t>
            </w:r>
            <w:r w:rsidR="0022493F" w:rsidRPr="000D71EF">
              <w:rPr>
                <w:iCs/>
              </w:rPr>
              <w:t>hodnotenie: a</w:t>
            </w:r>
            <w:r w:rsidRPr="000D71EF">
              <w:rPr>
                <w:iCs/>
              </w:rPr>
              <w:t>ktí</w:t>
            </w:r>
            <w:r w:rsidR="0022493F" w:rsidRPr="000D71EF">
              <w:rPr>
                <w:iCs/>
              </w:rPr>
              <w:t>vna práca počas semestra (30%)</w:t>
            </w:r>
          </w:p>
          <w:p w:rsidR="00AA69D4" w:rsidRPr="000D71EF" w:rsidRDefault="00AA69D4" w:rsidP="00AA69D4">
            <w:pPr>
              <w:rPr>
                <w:iCs/>
              </w:rPr>
            </w:pPr>
            <w:r w:rsidRPr="000D71EF">
              <w:rPr>
                <w:iCs/>
              </w:rPr>
              <w:t>Záverečné hodnotenie: záverečná skúška (70%)</w:t>
            </w:r>
          </w:p>
          <w:p w:rsidR="00AA69D4" w:rsidRPr="000D71EF" w:rsidRDefault="00AA69D4" w:rsidP="00AA69D4">
            <w:r w:rsidRPr="000D71EF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Výsledky vzdelávania:</w:t>
            </w:r>
            <w:r w:rsidRPr="000D71EF">
              <w:t xml:space="preserve"> </w:t>
            </w:r>
          </w:p>
          <w:p w:rsidR="00AA69D4" w:rsidRPr="000D71EF" w:rsidRDefault="00AA69D4" w:rsidP="00AA69D4">
            <w:pPr>
              <w:jc w:val="both"/>
            </w:pPr>
            <w:r w:rsidRPr="000D71EF">
              <w:rPr>
                <w:iCs/>
              </w:rPr>
              <w:t>Po absolvovaní predmetu si študent osvojí základy súťažného práva, s dôrazom najmä  na súťažne právo Európskej únie, a vybuduje si solídny základ pre ďalšie štúdium tejto problematiky so zameraním osobitne na problematiku protisúťažného správania podnikateľov (zneužívanie dominantného postavenia, dohody obmedzujúce súťaž).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Stručná osnova predmetu:</w:t>
            </w:r>
            <w:r w:rsidRPr="000D71EF">
              <w:t xml:space="preserve">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1.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Súťažné právo - základný koncept a ekonomické teórie                                                        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2.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Obmedzovanie súťaže – všeobecný prehľad                                                                                           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3.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Definícia relevantného trhu, trhová sila, bariéry vstupu na trh                                                            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4.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Súťažné právo – legislatívny a inštitucionálny rámec                                                                        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5.</w:t>
            </w:r>
            <w:r w:rsidRPr="000D71EF">
              <w:rPr>
                <w:iCs/>
                <w:color w:val="000000"/>
                <w:lang w:eastAsia="ar-SA"/>
              </w:rPr>
              <w:tab/>
              <w:t>Koncentrácie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6.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Kontrola koncentrácií - procesné, regulačné a schvaľovacie mechanizmy  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7.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Zneužívanie dominantného postavenia I. (cenové praktiky)                                                                              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8.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Zneužívanie dominantného postavenia II. (necenové praktiky)                                                    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9.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Horizontálne (kartelové) dohody a </w:t>
            </w:r>
            <w:proofErr w:type="spellStart"/>
            <w:r w:rsidRPr="000D71EF">
              <w:rPr>
                <w:iCs/>
                <w:color w:val="000000"/>
                <w:lang w:eastAsia="ar-SA"/>
              </w:rPr>
              <w:t>leniency</w:t>
            </w:r>
            <w:proofErr w:type="spellEnd"/>
            <w:r w:rsidRPr="000D71EF">
              <w:rPr>
                <w:iCs/>
                <w:color w:val="000000"/>
                <w:lang w:eastAsia="ar-SA"/>
              </w:rPr>
              <w:t xml:space="preserve"> program                                                                               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10.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Vertikálne dohody                                                                                                                                      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11.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Súťažná politika </w:t>
            </w:r>
            <w:proofErr w:type="spellStart"/>
            <w:r w:rsidRPr="000D71EF">
              <w:rPr>
                <w:iCs/>
                <w:color w:val="000000"/>
                <w:lang w:eastAsia="ar-SA"/>
              </w:rPr>
              <w:t>vs</w:t>
            </w:r>
            <w:proofErr w:type="spellEnd"/>
            <w:r w:rsidRPr="000D71EF">
              <w:rPr>
                <w:iCs/>
                <w:color w:val="000000"/>
                <w:lang w:eastAsia="ar-SA"/>
              </w:rPr>
              <w:t xml:space="preserve">. iné verejné záujmy a štátna pomoc                                                                                   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12.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Aplikácia súťažného práva v rôznych sektoroch                                                                                         </w:t>
            </w:r>
          </w:p>
          <w:p w:rsidR="007B0C30" w:rsidRPr="000D71EF" w:rsidRDefault="007B0C30" w:rsidP="00A00015">
            <w:p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13.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Presadzovanie súťažného práva prostriedkami verejného práva                                                                 </w:t>
            </w:r>
          </w:p>
          <w:p w:rsidR="00AA69D4" w:rsidRPr="000D71EF" w:rsidRDefault="007B0C30" w:rsidP="00A00015">
            <w:pPr>
              <w:spacing w:line="276" w:lineRule="auto"/>
              <w:ind w:left="425" w:hanging="425"/>
            </w:pPr>
            <w:r w:rsidRPr="000D71EF">
              <w:rPr>
                <w:iCs/>
                <w:color w:val="000000"/>
                <w:lang w:eastAsia="ar-SA"/>
              </w:rPr>
              <w:t>14.</w:t>
            </w:r>
            <w:r w:rsidRPr="000D71EF">
              <w:rPr>
                <w:iCs/>
                <w:color w:val="000000"/>
                <w:lang w:eastAsia="ar-SA"/>
              </w:rPr>
              <w:tab/>
              <w:t xml:space="preserve">Presadzovanie súťažného práva prostriedkami súkromného práva                                                                                                            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t>Odporúčaná literatúra:</w:t>
            </w:r>
            <w:r w:rsidRPr="000D71EF">
              <w:t xml:space="preserve"> </w:t>
            </w:r>
          </w:p>
          <w:p w:rsidR="00AA69D4" w:rsidRPr="000D71EF" w:rsidRDefault="00AA69D4" w:rsidP="00AA69D4">
            <w:proofErr w:type="spellStart"/>
            <w:r w:rsidRPr="000D71EF">
              <w:t>Geradin</w:t>
            </w:r>
            <w:proofErr w:type="spellEnd"/>
            <w:r w:rsidRPr="000D71EF">
              <w:t xml:space="preserve">, D., </w:t>
            </w:r>
            <w:proofErr w:type="spellStart"/>
            <w:r w:rsidRPr="000D71EF">
              <w:t>Layne-Farrar</w:t>
            </w:r>
            <w:proofErr w:type="spellEnd"/>
            <w:r w:rsidRPr="000D71EF">
              <w:t xml:space="preserve">, A., Petit, N.: </w:t>
            </w:r>
            <w:r w:rsidRPr="000D71EF">
              <w:rPr>
                <w:iCs/>
              </w:rPr>
              <w:t xml:space="preserve">EU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Economics</w:t>
            </w:r>
            <w:proofErr w:type="spellEnd"/>
            <w:r w:rsidRPr="000D71EF">
              <w:rPr>
                <w:iCs/>
              </w:rPr>
              <w:t>.</w:t>
            </w:r>
            <w:r w:rsidRPr="000D71EF">
              <w:t xml:space="preserve">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2012.         </w:t>
            </w:r>
          </w:p>
          <w:p w:rsidR="00AA69D4" w:rsidRPr="000D71EF" w:rsidRDefault="00AA69D4" w:rsidP="00AA69D4">
            <w:proofErr w:type="spellStart"/>
            <w:r w:rsidRPr="000D71EF">
              <w:t>Jones</w:t>
            </w:r>
            <w:proofErr w:type="spellEnd"/>
            <w:r w:rsidRPr="000D71EF">
              <w:t xml:space="preserve">, A., </w:t>
            </w:r>
            <w:proofErr w:type="spellStart"/>
            <w:r w:rsidRPr="000D71EF">
              <w:t>Sufrin</w:t>
            </w:r>
            <w:proofErr w:type="spellEnd"/>
            <w:r w:rsidRPr="000D71EF">
              <w:t xml:space="preserve">, B.: </w:t>
            </w:r>
            <w:r w:rsidRPr="000D71EF">
              <w:rPr>
                <w:iCs/>
              </w:rPr>
              <w:t xml:space="preserve">EC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, Text, </w:t>
            </w:r>
            <w:proofErr w:type="spellStart"/>
            <w:r w:rsidRPr="000D71EF">
              <w:rPr>
                <w:iCs/>
              </w:rPr>
              <w:t>Cases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Materials</w:t>
            </w:r>
            <w:proofErr w:type="spellEnd"/>
            <w:r w:rsidRPr="000D71EF">
              <w:rPr>
                <w:iCs/>
              </w:rPr>
              <w:t>.</w:t>
            </w:r>
            <w:r w:rsidRPr="000D71EF">
              <w:t xml:space="preserve"> 4th </w:t>
            </w:r>
            <w:proofErr w:type="spellStart"/>
            <w:r w:rsidRPr="000D71EF">
              <w:t>ed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2010.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0D71EF">
              <w:t>Kokkoris</w:t>
            </w:r>
            <w:proofErr w:type="spellEnd"/>
            <w:r w:rsidRPr="000D71EF">
              <w:t xml:space="preserve">, I., </w:t>
            </w:r>
            <w:proofErr w:type="spellStart"/>
            <w:r w:rsidRPr="000D71EF">
              <w:t>Shelanski</w:t>
            </w:r>
            <w:proofErr w:type="spellEnd"/>
            <w:r w:rsidRPr="000D71EF">
              <w:t xml:space="preserve">, H.: </w:t>
            </w:r>
            <w:r w:rsidRPr="000D71EF">
              <w:rPr>
                <w:iCs/>
              </w:rPr>
              <w:t xml:space="preserve">EU </w:t>
            </w:r>
            <w:proofErr w:type="spellStart"/>
            <w:r w:rsidRPr="000D71EF">
              <w:rPr>
                <w:iCs/>
              </w:rPr>
              <w:t>Merger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Control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2013.             </w:t>
            </w:r>
          </w:p>
          <w:p w:rsidR="00AA69D4" w:rsidRPr="000D71EF" w:rsidRDefault="00AA69D4" w:rsidP="00AA69D4">
            <w:proofErr w:type="spellStart"/>
            <w:r w:rsidRPr="000D71EF">
              <w:t>Monti</w:t>
            </w:r>
            <w:proofErr w:type="spellEnd"/>
            <w:r w:rsidRPr="000D71EF">
              <w:t xml:space="preserve">, G.: </w:t>
            </w:r>
            <w:proofErr w:type="spellStart"/>
            <w:r w:rsidRPr="000D71EF">
              <w:rPr>
                <w:iCs/>
              </w:rPr>
              <w:t>Perspectives</w:t>
            </w:r>
            <w:proofErr w:type="spellEnd"/>
            <w:r w:rsidRPr="000D71EF">
              <w:rPr>
                <w:iCs/>
              </w:rPr>
              <w:t xml:space="preserve"> on EC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 xml:space="preserve">. Cambridge: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</w:t>
            </w:r>
            <w:r w:rsidRPr="000D71EF">
              <w:lastRenderedPageBreak/>
              <w:t>2007.</w:t>
            </w:r>
          </w:p>
          <w:p w:rsidR="00AA69D4" w:rsidRPr="000D71EF" w:rsidRDefault="00AA69D4" w:rsidP="00AA69D4">
            <w:proofErr w:type="spellStart"/>
            <w:r w:rsidRPr="000D71EF">
              <w:t>Niels</w:t>
            </w:r>
            <w:proofErr w:type="spellEnd"/>
            <w:r w:rsidRPr="000D71EF">
              <w:t xml:space="preserve">, G., </w:t>
            </w:r>
            <w:proofErr w:type="spellStart"/>
            <w:r w:rsidRPr="000D71EF">
              <w:t>Jenkins</w:t>
            </w:r>
            <w:proofErr w:type="spellEnd"/>
            <w:r w:rsidRPr="000D71EF">
              <w:t xml:space="preserve">, H., </w:t>
            </w:r>
            <w:proofErr w:type="spellStart"/>
            <w:r w:rsidRPr="000D71EF">
              <w:t>Kavanagh</w:t>
            </w:r>
            <w:proofErr w:type="spellEnd"/>
            <w:r w:rsidRPr="000D71EF">
              <w:t xml:space="preserve">, J.: </w:t>
            </w:r>
            <w:proofErr w:type="spellStart"/>
            <w:r w:rsidRPr="000D71EF">
              <w:rPr>
                <w:iCs/>
              </w:rPr>
              <w:t>Economics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for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Lawyers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2011.</w:t>
            </w:r>
          </w:p>
          <w:p w:rsidR="00AA69D4" w:rsidRPr="000D71EF" w:rsidRDefault="00AA69D4" w:rsidP="00AA69D4">
            <w:proofErr w:type="spellStart"/>
            <w:r w:rsidRPr="000D71EF">
              <w:t>Ortiz</w:t>
            </w:r>
            <w:proofErr w:type="spellEnd"/>
            <w:r w:rsidRPr="000D71EF">
              <w:t xml:space="preserve">, B., </w:t>
            </w:r>
            <w:proofErr w:type="spellStart"/>
            <w:r w:rsidRPr="000D71EF">
              <w:t>Luis</w:t>
            </w:r>
            <w:proofErr w:type="spellEnd"/>
            <w:r w:rsidRPr="000D71EF">
              <w:t xml:space="preserve">: </w:t>
            </w:r>
            <w:r w:rsidRPr="000D71EF">
              <w:rPr>
                <w:iCs/>
              </w:rPr>
              <w:t xml:space="preserve">EU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Procedure</w:t>
            </w:r>
            <w:proofErr w:type="spellEnd"/>
            <w:r w:rsidRPr="000D71EF">
              <w:t xml:space="preserve">. 3rd </w:t>
            </w:r>
            <w:proofErr w:type="spellStart"/>
            <w:r w:rsidRPr="000D71EF">
              <w:t>ed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2013.                                                    Rose, V., </w:t>
            </w:r>
            <w:proofErr w:type="spellStart"/>
            <w:r w:rsidRPr="000D71EF">
              <w:t>Bailey</w:t>
            </w:r>
            <w:proofErr w:type="spellEnd"/>
            <w:r w:rsidRPr="000D71EF">
              <w:t xml:space="preserve">, D.: </w:t>
            </w:r>
            <w:proofErr w:type="spellStart"/>
            <w:r w:rsidRPr="000D71EF">
              <w:rPr>
                <w:iCs/>
              </w:rPr>
              <w:t>Bellamy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Child</w:t>
            </w:r>
            <w:proofErr w:type="spellEnd"/>
            <w:r w:rsidRPr="000D71EF">
              <w:rPr>
                <w:iCs/>
              </w:rPr>
              <w:t xml:space="preserve">: </w:t>
            </w:r>
            <w:proofErr w:type="spellStart"/>
            <w:r w:rsidRPr="000D71EF">
              <w:rPr>
                <w:iCs/>
              </w:rPr>
              <w:t>European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Union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t xml:space="preserve">. 7th </w:t>
            </w:r>
            <w:proofErr w:type="spellStart"/>
            <w:r w:rsidRPr="000D71EF">
              <w:t>ed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2013.                                                                              </w:t>
            </w:r>
          </w:p>
          <w:p w:rsidR="00AA69D4" w:rsidRPr="000D71EF" w:rsidRDefault="00AA69D4" w:rsidP="00AA69D4">
            <w:pPr>
              <w:autoSpaceDE w:val="0"/>
              <w:autoSpaceDN w:val="0"/>
              <w:adjustRightInd w:val="0"/>
            </w:pPr>
            <w:proofErr w:type="spellStart"/>
            <w:r w:rsidRPr="000D71EF">
              <w:t>Whish</w:t>
            </w:r>
            <w:proofErr w:type="spellEnd"/>
            <w:r w:rsidRPr="000D71EF">
              <w:t xml:space="preserve">, R.: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 xml:space="preserve">. 7th </w:t>
            </w:r>
            <w:proofErr w:type="spellStart"/>
            <w:r w:rsidRPr="000D71EF">
              <w:t>ed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2012.                                                         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r w:rsidRPr="000D71EF">
              <w:rPr>
                <w:b/>
              </w:rPr>
              <w:lastRenderedPageBreak/>
              <w:t>Jazyk, ktorého znalosť je potrebná na absolvovanie predmetu:</w:t>
            </w:r>
            <w:r w:rsidR="0022493F" w:rsidRPr="000D71EF">
              <w:t xml:space="preserve"> </w:t>
            </w:r>
            <w:r w:rsidRPr="000D71EF">
              <w:t xml:space="preserve">anglický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pPr>
              <w:jc w:val="both"/>
            </w:pPr>
            <w:r w:rsidRPr="000D71EF">
              <w:rPr>
                <w:b/>
              </w:rPr>
              <w:t>Poznámky:</w:t>
            </w:r>
            <w:r w:rsidRPr="000D71EF">
              <w:t xml:space="preserve"> </w:t>
            </w:r>
          </w:p>
        </w:tc>
      </w:tr>
      <w:tr w:rsidR="00AA69D4" w:rsidRPr="000D71EF" w:rsidTr="004D5FCB">
        <w:tc>
          <w:tcPr>
            <w:tcW w:w="9322" w:type="dxa"/>
            <w:gridSpan w:val="2"/>
            <w:tcBorders>
              <w:bottom w:val="single" w:sz="4" w:space="0" w:color="auto"/>
            </w:tcBorders>
          </w:tcPr>
          <w:p w:rsidR="00AA69D4" w:rsidRPr="000D71EF" w:rsidRDefault="00AA69D4" w:rsidP="00AA69D4">
            <w:pPr>
              <w:rPr>
                <w:b/>
              </w:rPr>
            </w:pPr>
            <w:r w:rsidRPr="000D71EF">
              <w:rPr>
                <w:b/>
              </w:rPr>
              <w:t>Hodnotenie predmetov</w:t>
            </w:r>
          </w:p>
          <w:p w:rsidR="00AA69D4" w:rsidRPr="000D71EF" w:rsidRDefault="00AA69D4" w:rsidP="00AA69D4">
            <w:r w:rsidRPr="000D71EF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AA69D4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AA69D4" w:rsidRPr="000D71EF" w:rsidTr="00AA69D4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69D4" w:rsidRPr="000D71EF" w:rsidRDefault="00AA69D4" w:rsidP="00AA69D4">
                  <w:pPr>
                    <w:jc w:val="center"/>
                  </w:pPr>
                </w:p>
              </w:tc>
            </w:tr>
          </w:tbl>
          <w:p w:rsidR="00AA69D4" w:rsidRPr="000D71EF" w:rsidRDefault="00AA69D4" w:rsidP="00AA69D4"/>
        </w:tc>
      </w:tr>
      <w:tr w:rsidR="00AA69D4" w:rsidRPr="000D71EF" w:rsidTr="004D5FCB">
        <w:tc>
          <w:tcPr>
            <w:tcW w:w="9322" w:type="dxa"/>
            <w:gridSpan w:val="2"/>
            <w:tcBorders>
              <w:bottom w:val="nil"/>
            </w:tcBorders>
          </w:tcPr>
          <w:p w:rsidR="00AA69D4" w:rsidRPr="000D71EF" w:rsidRDefault="004D5FCB" w:rsidP="004D5F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</w:pPr>
            <w:r w:rsidRPr="000D71EF">
              <w:rPr>
                <w:b/>
              </w:rPr>
              <w:t>Vyučujúci:</w:t>
            </w:r>
            <w:r w:rsidRPr="000D71EF">
              <w:t xml:space="preserve"> Ing. Mgr. Ondrej </w:t>
            </w:r>
            <w:proofErr w:type="spellStart"/>
            <w:r w:rsidRPr="000D71EF">
              <w:t>Blažo</w:t>
            </w:r>
            <w:proofErr w:type="spellEnd"/>
            <w:r w:rsidRPr="000D71EF">
              <w:t>, PhD., Mgr. Kristína Považanová, JUDr. Daniela Ježová, PhD., LL.M.</w:t>
            </w:r>
            <w:r w:rsidR="005D0D82" w:rsidRPr="000D71EF">
              <w:t xml:space="preserve">, </w:t>
            </w:r>
            <w:r w:rsidR="005D0D82" w:rsidRPr="000D71EF">
              <w:t xml:space="preserve">JUDr. Hana </w:t>
            </w:r>
            <w:proofErr w:type="spellStart"/>
            <w:r w:rsidR="005D0D82" w:rsidRPr="000D71EF">
              <w:t>Kováčiková</w:t>
            </w:r>
            <w:proofErr w:type="spellEnd"/>
            <w:r w:rsidR="005D0D82" w:rsidRPr="000D71EF">
              <w:t>, PhD.</w:t>
            </w:r>
            <w:r w:rsidRPr="000D71EF">
              <w:t xml:space="preserve"> a </w:t>
            </w:r>
            <w:r w:rsidRPr="000D71EF">
              <w:rPr>
                <w:rFonts w:eastAsiaTheme="minorHAnsi"/>
                <w:lang w:eastAsia="en-US"/>
              </w:rPr>
              <w:t xml:space="preserve">ďalší členovia </w:t>
            </w:r>
            <w:r w:rsidRPr="000D71EF">
              <w:t>ÚEP</w:t>
            </w:r>
          </w:p>
        </w:tc>
      </w:tr>
      <w:tr w:rsidR="00AA69D4" w:rsidRPr="000D71EF" w:rsidTr="004D5FCB">
        <w:tc>
          <w:tcPr>
            <w:tcW w:w="9322" w:type="dxa"/>
            <w:gridSpan w:val="2"/>
            <w:tcBorders>
              <w:top w:val="nil"/>
            </w:tcBorders>
          </w:tcPr>
          <w:p w:rsidR="00AA69D4" w:rsidRPr="000D71EF" w:rsidRDefault="00AA69D4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Dátum poslednej zmeny:</w:t>
            </w:r>
            <w:r w:rsidRPr="000D71EF">
              <w:t xml:space="preserve"> </w:t>
            </w:r>
          </w:p>
        </w:tc>
      </w:tr>
      <w:tr w:rsidR="00AA69D4" w:rsidRPr="000D71EF" w:rsidTr="00AA69D4">
        <w:tc>
          <w:tcPr>
            <w:tcW w:w="9322" w:type="dxa"/>
            <w:gridSpan w:val="2"/>
          </w:tcPr>
          <w:p w:rsidR="00AA69D4" w:rsidRPr="000D71EF" w:rsidRDefault="00AA69D4" w:rsidP="00AA69D4">
            <w:pPr>
              <w:tabs>
                <w:tab w:val="left" w:pos="1530"/>
              </w:tabs>
            </w:pPr>
            <w:r w:rsidRPr="000D71EF">
              <w:rPr>
                <w:b/>
              </w:rPr>
              <w:t>Schválil:</w:t>
            </w:r>
            <w:r w:rsidRPr="000D71EF">
              <w:t xml:space="preserve"> </w:t>
            </w:r>
          </w:p>
        </w:tc>
      </w:tr>
    </w:tbl>
    <w:p w:rsidR="00AA69D4" w:rsidRPr="000D71EF" w:rsidRDefault="00AA69D4" w:rsidP="00AA69D4">
      <w:pPr>
        <w:ind w:left="720"/>
        <w:jc w:val="both"/>
      </w:pPr>
    </w:p>
    <w:p w:rsidR="00AA69D4" w:rsidRPr="000D71EF" w:rsidRDefault="00AA69D4" w:rsidP="00AA69D4"/>
    <w:p w:rsidR="00AA69D4" w:rsidRPr="000D71EF" w:rsidRDefault="00AA69D4" w:rsidP="00AA69D4"/>
    <w:p w:rsidR="00AA69D4" w:rsidRPr="000D71EF" w:rsidRDefault="00AA69D4" w:rsidP="00AA69D4"/>
    <w:p w:rsidR="00AA69D4" w:rsidRPr="000D71EF" w:rsidRDefault="00AA69D4" w:rsidP="00AA69D4"/>
    <w:p w:rsidR="00AA69D4" w:rsidRPr="000D71EF" w:rsidRDefault="00AA69D4" w:rsidP="00AA69D4"/>
    <w:p w:rsidR="00AA69D4" w:rsidRPr="000D71EF" w:rsidRDefault="00AA69D4" w:rsidP="00AA69D4"/>
    <w:p w:rsidR="00AA69D4" w:rsidRPr="000D71EF" w:rsidRDefault="00AA69D4" w:rsidP="00AA69D4"/>
    <w:p w:rsidR="00AA69D4" w:rsidRPr="000D71EF" w:rsidRDefault="00AA69D4" w:rsidP="00AA69D4"/>
    <w:p w:rsidR="00AA69D4" w:rsidRPr="000D71EF" w:rsidRDefault="00AA69D4" w:rsidP="00AA69D4"/>
    <w:p w:rsidR="00AA69D4" w:rsidRPr="000D71EF" w:rsidRDefault="00AA69D4" w:rsidP="00AA69D4"/>
    <w:p w:rsidR="00AA69D4" w:rsidRPr="000D71EF" w:rsidRDefault="00AA69D4" w:rsidP="00AA69D4"/>
    <w:p w:rsidR="00431AF9" w:rsidRPr="000D71EF" w:rsidRDefault="00431AF9" w:rsidP="00486C70"/>
    <w:p w:rsidR="002A0C79" w:rsidRPr="000D71EF" w:rsidRDefault="002A0C79" w:rsidP="00486C70"/>
    <w:p w:rsidR="00431AF9" w:rsidRPr="000D71EF" w:rsidRDefault="00431AF9" w:rsidP="00486C70"/>
    <w:p w:rsidR="004D5FCB" w:rsidRPr="000D71EF" w:rsidRDefault="004D5FCB" w:rsidP="00431AF9">
      <w:pPr>
        <w:ind w:left="720"/>
        <w:jc w:val="right"/>
      </w:pPr>
    </w:p>
    <w:p w:rsidR="004D5FCB" w:rsidRPr="000D71EF" w:rsidRDefault="004D5FCB" w:rsidP="00431AF9">
      <w:pPr>
        <w:ind w:left="720"/>
        <w:jc w:val="right"/>
      </w:pPr>
    </w:p>
    <w:p w:rsidR="00431AF9" w:rsidRPr="000D71EF" w:rsidRDefault="00431AF9" w:rsidP="00431AF9">
      <w:pPr>
        <w:ind w:left="720"/>
        <w:jc w:val="right"/>
      </w:pPr>
      <w:r w:rsidRPr="000D71EF">
        <w:lastRenderedPageBreak/>
        <w:t>Informačný list predmetu</w:t>
      </w:r>
    </w:p>
    <w:tbl>
      <w:tblPr>
        <w:tblStyle w:val="TableGrid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r w:rsidRPr="000D71EF">
              <w:rPr>
                <w:b/>
              </w:rPr>
              <w:t>Vysoká škola:</w:t>
            </w:r>
            <w:r w:rsidRPr="000D71EF">
              <w:t xml:space="preserve"> Univerzita Komenského v Bratislave</w:t>
            </w:r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r w:rsidRPr="000D71EF">
              <w:rPr>
                <w:b/>
              </w:rPr>
              <w:t>Fakulta:</w:t>
            </w:r>
            <w:r w:rsidRPr="000D71EF">
              <w:t xml:space="preserve"> Právnická fakulta</w:t>
            </w:r>
          </w:p>
        </w:tc>
      </w:tr>
      <w:tr w:rsidR="00431AF9" w:rsidRPr="000D71EF" w:rsidTr="00617909">
        <w:tc>
          <w:tcPr>
            <w:tcW w:w="4110" w:type="dxa"/>
          </w:tcPr>
          <w:p w:rsidR="00431AF9" w:rsidRPr="000D71EF" w:rsidRDefault="00431AF9" w:rsidP="00617909">
            <w:r w:rsidRPr="000D71EF">
              <w:rPr>
                <w:b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5212" w:type="dxa"/>
          </w:tcPr>
          <w:p w:rsidR="00431AF9" w:rsidRPr="000D71EF" w:rsidRDefault="00431AF9" w:rsidP="00617909">
            <w:pPr>
              <w:rPr>
                <w:b/>
              </w:rPr>
            </w:pPr>
            <w:r w:rsidRPr="000D71EF">
              <w:rPr>
                <w:b/>
              </w:rPr>
              <w:t xml:space="preserve">Názov predmetu: </w:t>
            </w:r>
            <w:r w:rsidRPr="000D71EF">
              <w:rPr>
                <w:i/>
              </w:rPr>
              <w:t>Právna etika</w:t>
            </w:r>
          </w:p>
        </w:tc>
      </w:tr>
      <w:tr w:rsidR="00431AF9" w:rsidRPr="000D71EF" w:rsidTr="00617909">
        <w:trPr>
          <w:trHeight w:val="1110"/>
        </w:trPr>
        <w:tc>
          <w:tcPr>
            <w:tcW w:w="9322" w:type="dxa"/>
            <w:gridSpan w:val="2"/>
          </w:tcPr>
          <w:p w:rsidR="00431AF9" w:rsidRPr="000D71EF" w:rsidRDefault="00431AF9" w:rsidP="00617909">
            <w:r w:rsidRPr="000D71EF">
              <w:rPr>
                <w:b/>
              </w:rPr>
              <w:t>Druh, rozsah a metóda vzdelávacích činností:</w:t>
            </w:r>
            <w:r w:rsidRPr="000D71EF">
              <w:t xml:space="preserve"> </w:t>
            </w:r>
          </w:p>
          <w:p w:rsidR="00431AF9" w:rsidRPr="000D71EF" w:rsidRDefault="00431AF9" w:rsidP="0022493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D71EF">
              <w:rPr>
                <w:rFonts w:eastAsiaTheme="minorHAnsi"/>
                <w:lang w:eastAsia="en-US"/>
              </w:rPr>
              <w:t>Denná forma štúdia: 3 hodiny seminárov týždenne, spolu 42 hodín za semester, prezenčná metóda</w:t>
            </w:r>
          </w:p>
        </w:tc>
      </w:tr>
      <w:tr w:rsidR="00431AF9" w:rsidRPr="000D71EF" w:rsidTr="00617909">
        <w:trPr>
          <w:trHeight w:val="286"/>
        </w:trPr>
        <w:tc>
          <w:tcPr>
            <w:tcW w:w="9322" w:type="dxa"/>
            <w:gridSpan w:val="2"/>
          </w:tcPr>
          <w:p w:rsidR="00431AF9" w:rsidRPr="000D71EF" w:rsidRDefault="00431AF9" w:rsidP="00617909">
            <w:r w:rsidRPr="000D71EF">
              <w:rPr>
                <w:b/>
              </w:rPr>
              <w:t>Počet kreditov:</w:t>
            </w:r>
            <w:r w:rsidRPr="000D71EF">
              <w:t xml:space="preserve"> 3</w:t>
            </w:r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r w:rsidRPr="000D71EF">
              <w:rPr>
                <w:b/>
              </w:rPr>
              <w:t>Odporúčaný semester štúdia:</w:t>
            </w:r>
            <w:r w:rsidR="0022493F" w:rsidRPr="000D71EF">
              <w:t xml:space="preserve"> </w:t>
            </w:r>
            <w:r w:rsidRPr="000D71EF">
              <w:t xml:space="preserve">4. semester </w:t>
            </w:r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r w:rsidRPr="000D71EF">
              <w:rPr>
                <w:b/>
              </w:rPr>
              <w:t>Stupeň štúdia:</w:t>
            </w:r>
            <w:r w:rsidRPr="000D71EF">
              <w:t xml:space="preserve"> 2.</w:t>
            </w:r>
            <w:r w:rsidR="0022493F" w:rsidRPr="000D71EF">
              <w:t xml:space="preserve"> stupeň</w:t>
            </w:r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r w:rsidRPr="000D71EF">
              <w:rPr>
                <w:b/>
              </w:rPr>
              <w:t>Podmieňujúce predmety:</w:t>
            </w:r>
            <w:r w:rsidRPr="000D71EF">
              <w:t xml:space="preserve"> </w:t>
            </w:r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pPr>
              <w:rPr>
                <w:b/>
              </w:rPr>
            </w:pPr>
            <w:r w:rsidRPr="000D71EF">
              <w:rPr>
                <w:b/>
              </w:rPr>
              <w:t xml:space="preserve">Podmienky na absolvovanie predmetu: </w:t>
            </w:r>
          </w:p>
          <w:p w:rsidR="0022493F" w:rsidRPr="000D71EF" w:rsidRDefault="00431AF9" w:rsidP="00617909">
            <w:pPr>
              <w:rPr>
                <w:iCs/>
              </w:rPr>
            </w:pPr>
            <w:r w:rsidRPr="000D71EF">
              <w:rPr>
                <w:iCs/>
              </w:rPr>
              <w:t>Priebežné hodnotenie: aktívna práca poča</w:t>
            </w:r>
            <w:r w:rsidR="0022493F" w:rsidRPr="000D71EF">
              <w:rPr>
                <w:iCs/>
              </w:rPr>
              <w:t>s semestra a prezentácia (50%)</w:t>
            </w:r>
          </w:p>
          <w:p w:rsidR="00431AF9" w:rsidRPr="000D71EF" w:rsidRDefault="00431AF9" w:rsidP="00617909">
            <w:pPr>
              <w:rPr>
                <w:iCs/>
              </w:rPr>
            </w:pPr>
            <w:r w:rsidRPr="000D71EF">
              <w:rPr>
                <w:iCs/>
              </w:rPr>
              <w:t>Záverečné hodnotenie: záverečná skúška (50%)</w:t>
            </w:r>
          </w:p>
          <w:p w:rsidR="00431AF9" w:rsidRPr="000D71EF" w:rsidRDefault="00431AF9" w:rsidP="00617909">
            <w:r w:rsidRPr="000D71EF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431AF9" w:rsidRPr="000D71EF" w:rsidTr="00D84E95">
        <w:trPr>
          <w:trHeight w:val="90"/>
        </w:trPr>
        <w:tc>
          <w:tcPr>
            <w:tcW w:w="9322" w:type="dxa"/>
            <w:gridSpan w:val="2"/>
          </w:tcPr>
          <w:p w:rsidR="00431AF9" w:rsidRPr="000D71EF" w:rsidRDefault="00431AF9" w:rsidP="00617909">
            <w:r w:rsidRPr="000D71EF">
              <w:rPr>
                <w:b/>
              </w:rPr>
              <w:t>Výsledky vzdelávania:</w:t>
            </w:r>
            <w:r w:rsidRPr="000D71EF">
              <w:t xml:space="preserve"> </w:t>
            </w:r>
          </w:p>
          <w:p w:rsidR="00431AF9" w:rsidRPr="000D71EF" w:rsidRDefault="00431AF9" w:rsidP="00617909">
            <w:pPr>
              <w:jc w:val="both"/>
            </w:pPr>
            <w:r w:rsidRPr="000D71EF">
              <w:rPr>
                <w:iCs/>
              </w:rPr>
              <w:t>Predmet sa zaoberá hlavnými otázkami súčasných právnej etiky na Slovensku a vo svete. Profesionálne zodpovednosť a profesijné štandardy právnikov sú jadrom kurzu. Študent sa oboznámi s kľúčovými otázkami právnej etiky, ktoré tvoria základné pravidlá správania sa právnikov a sudcov.</w:t>
            </w:r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r w:rsidRPr="000D71EF">
              <w:rPr>
                <w:b/>
              </w:rPr>
              <w:t>Stručná osnova predmetu:</w:t>
            </w:r>
            <w:r w:rsidRPr="000D71EF">
              <w:t xml:space="preserve"> </w:t>
            </w:r>
          </w:p>
          <w:p w:rsidR="00E77886" w:rsidRPr="000D71EF" w:rsidRDefault="00431AF9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Základy právnej etiky</w:t>
            </w:r>
            <w:r w:rsidR="00E77886" w:rsidRPr="000D71EF">
              <w:rPr>
                <w:iCs/>
                <w:color w:val="000000"/>
                <w:lang w:eastAsia="ar-SA"/>
              </w:rPr>
              <w:t xml:space="preserve"> I</w:t>
            </w:r>
          </w:p>
          <w:p w:rsidR="00E77886" w:rsidRPr="000D71EF" w:rsidRDefault="00E77886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Základy právnej etiky II</w:t>
            </w:r>
          </w:p>
          <w:p w:rsidR="00E77886" w:rsidRPr="000D71EF" w:rsidRDefault="00E77886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Spravodlivosť, etika a právo I</w:t>
            </w:r>
          </w:p>
          <w:p w:rsidR="00E77886" w:rsidRPr="000D71EF" w:rsidRDefault="00E77886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Spravodlivosť, etika a právo II</w:t>
            </w:r>
          </w:p>
          <w:p w:rsidR="00431AF9" w:rsidRPr="000D71EF" w:rsidRDefault="00EA6958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Profesionálna zodpovednosť I</w:t>
            </w:r>
          </w:p>
          <w:p w:rsidR="00402CB2" w:rsidRPr="000D71EF" w:rsidRDefault="00402CB2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Profesionálna zodpovednosť II</w:t>
            </w:r>
          </w:p>
          <w:p w:rsidR="00402CB2" w:rsidRPr="000D71EF" w:rsidRDefault="00402CB2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Profesionálna zodpovednosť III</w:t>
            </w:r>
          </w:p>
          <w:p w:rsidR="00402CB2" w:rsidRPr="000D71EF" w:rsidRDefault="00402CB2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Profesijné štandardy I</w:t>
            </w:r>
          </w:p>
          <w:p w:rsidR="00402CB2" w:rsidRPr="000D71EF" w:rsidRDefault="00402CB2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Profesijné štandardy II</w:t>
            </w:r>
          </w:p>
          <w:p w:rsidR="00402CB2" w:rsidRPr="000D71EF" w:rsidRDefault="00402CB2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Klient - Právnik vzťah I</w:t>
            </w:r>
          </w:p>
          <w:p w:rsidR="00402CB2" w:rsidRPr="000D71EF" w:rsidRDefault="00402CB2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Klient - Právnik vzťah II</w:t>
            </w:r>
          </w:p>
          <w:p w:rsidR="00402CB2" w:rsidRPr="000D71EF" w:rsidRDefault="00402CB2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Klient - Právnik vzťah III</w:t>
            </w:r>
          </w:p>
          <w:p w:rsidR="00431AF9" w:rsidRPr="000D71EF" w:rsidRDefault="00402CB2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Modely a pravidlá etiky I</w:t>
            </w:r>
          </w:p>
          <w:p w:rsidR="00402CB2" w:rsidRPr="000D71EF" w:rsidRDefault="00402CB2" w:rsidP="00A0001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25" w:hanging="425"/>
              <w:rPr>
                <w:iCs/>
                <w:color w:val="000000"/>
                <w:lang w:eastAsia="ar-SA"/>
              </w:rPr>
            </w:pPr>
            <w:r w:rsidRPr="000D71EF">
              <w:rPr>
                <w:iCs/>
                <w:color w:val="000000"/>
                <w:lang w:eastAsia="ar-SA"/>
              </w:rPr>
              <w:t>Modely a pravidlá etiky II</w:t>
            </w:r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r w:rsidRPr="000D71EF">
              <w:rPr>
                <w:b/>
              </w:rPr>
              <w:t>Odporúčaná literatúra:</w:t>
            </w:r>
            <w:r w:rsidRPr="000D71EF">
              <w:t xml:space="preserve"> </w:t>
            </w:r>
          </w:p>
          <w:p w:rsidR="00431AF9" w:rsidRPr="000D71EF" w:rsidRDefault="00431AF9" w:rsidP="00617909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</w:pPr>
            <w:r w:rsidRPr="000D71EF">
              <w:t xml:space="preserve">KRONMAN, A. </w:t>
            </w:r>
            <w:proofErr w:type="spellStart"/>
            <w:r w:rsidRPr="000D71EF">
              <w:t>T.:The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Lost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Lawyer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Harvard</w:t>
            </w:r>
            <w:proofErr w:type="spellEnd"/>
            <w:r w:rsidRPr="000D71EF">
              <w:t xml:space="preserve"> Univ. Press, 1995</w:t>
            </w:r>
          </w:p>
          <w:p w:rsidR="00431AF9" w:rsidRPr="000D71EF" w:rsidRDefault="00431AF9" w:rsidP="00617909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</w:pPr>
            <w:r w:rsidRPr="000D71EF">
              <w:t xml:space="preserve">O´DAIR, R.: </w:t>
            </w:r>
            <w:proofErr w:type="spellStart"/>
            <w:r w:rsidRPr="000D71EF">
              <w:t>Legal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Ethics</w:t>
            </w:r>
            <w:proofErr w:type="spellEnd"/>
            <w:r w:rsidRPr="000D71EF">
              <w:t>. Cambridge Univ. Press, 2000</w:t>
            </w:r>
          </w:p>
          <w:p w:rsidR="00431AF9" w:rsidRPr="000D71EF" w:rsidRDefault="00431AF9" w:rsidP="00617909">
            <w:pPr>
              <w:autoSpaceDE w:val="0"/>
              <w:autoSpaceDN w:val="0"/>
              <w:adjustRightInd w:val="0"/>
            </w:pPr>
            <w:r w:rsidRPr="000D71EF">
              <w:t xml:space="preserve">BIESEN, </w:t>
            </w:r>
            <w:proofErr w:type="spellStart"/>
            <w:r w:rsidRPr="000D71EF">
              <w:t>Ph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van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den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Building</w:t>
            </w:r>
            <w:proofErr w:type="spellEnd"/>
            <w:r w:rsidRPr="000D71EF">
              <w:t xml:space="preserve"> on </w:t>
            </w:r>
            <w:proofErr w:type="spellStart"/>
            <w:r w:rsidRPr="000D71EF">
              <w:t>Basic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Principles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Leiden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Stichting</w:t>
            </w:r>
            <w:proofErr w:type="spellEnd"/>
            <w:r w:rsidRPr="000D71EF">
              <w:t xml:space="preserve">, 2011 </w:t>
            </w:r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r w:rsidRPr="000D71EF">
              <w:rPr>
                <w:b/>
              </w:rPr>
              <w:t>Jazyk, ktorého znalosť je potrebná na absolvovanie predmetu:</w:t>
            </w:r>
            <w:r w:rsidR="0022493F" w:rsidRPr="000D71EF">
              <w:t xml:space="preserve"> </w:t>
            </w:r>
            <w:r w:rsidRPr="000D71EF">
              <w:t xml:space="preserve">anglický </w:t>
            </w:r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pPr>
              <w:jc w:val="both"/>
            </w:pPr>
            <w:r w:rsidRPr="000D71EF">
              <w:rPr>
                <w:b/>
              </w:rPr>
              <w:t>Poznámky:</w:t>
            </w:r>
            <w:r w:rsidRPr="000D71EF">
              <w:t xml:space="preserve"> </w:t>
            </w:r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pPr>
              <w:rPr>
                <w:b/>
              </w:rPr>
            </w:pPr>
            <w:r w:rsidRPr="000D71EF">
              <w:rPr>
                <w:b/>
              </w:rPr>
              <w:t>Hodnotenie predmetov</w:t>
            </w:r>
          </w:p>
          <w:p w:rsidR="00431AF9" w:rsidRPr="000D71EF" w:rsidRDefault="00431AF9" w:rsidP="00617909">
            <w:r w:rsidRPr="000D71EF"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1AF9" w:rsidRPr="000D71EF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lastRenderedPageBreak/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431AF9" w:rsidRPr="000D71EF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</w:tr>
          </w:tbl>
          <w:p w:rsidR="00431AF9" w:rsidRPr="000D71EF" w:rsidRDefault="00431AF9" w:rsidP="00617909"/>
        </w:tc>
      </w:tr>
      <w:tr w:rsidR="004D5FCB" w:rsidRPr="000D71EF" w:rsidTr="00617909">
        <w:tc>
          <w:tcPr>
            <w:tcW w:w="9322" w:type="dxa"/>
            <w:gridSpan w:val="2"/>
          </w:tcPr>
          <w:p w:rsidR="004D5FCB" w:rsidRPr="000D71EF" w:rsidRDefault="004D5FCB" w:rsidP="00617909">
            <w:pPr>
              <w:tabs>
                <w:tab w:val="left" w:pos="1530"/>
              </w:tabs>
              <w:rPr>
                <w:b/>
              </w:rPr>
            </w:pPr>
            <w:r w:rsidRPr="000D71EF">
              <w:rPr>
                <w:b/>
              </w:rPr>
              <w:lastRenderedPageBreak/>
              <w:t>Vyučujúci:</w:t>
            </w:r>
            <w:r w:rsidRPr="000D71EF">
              <w:t xml:space="preserve"> JUDr. Branislav Fábry, PhD., </w:t>
            </w:r>
            <w:r w:rsidRPr="000D71EF">
              <w:rPr>
                <w:rFonts w:eastAsiaTheme="minorHAnsi"/>
                <w:lang w:eastAsia="en-US"/>
              </w:rPr>
              <w:t xml:space="preserve">a ďalší členovia  </w:t>
            </w:r>
            <w:proofErr w:type="spellStart"/>
            <w:r w:rsidRPr="000D71EF">
              <w:rPr>
                <w:rFonts w:eastAsiaTheme="minorHAnsi"/>
                <w:lang w:eastAsia="en-US"/>
              </w:rPr>
              <w:t>KTPaSV</w:t>
            </w:r>
            <w:proofErr w:type="spellEnd"/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pPr>
              <w:tabs>
                <w:tab w:val="left" w:pos="1530"/>
              </w:tabs>
            </w:pPr>
            <w:r w:rsidRPr="000D71EF">
              <w:rPr>
                <w:b/>
              </w:rPr>
              <w:t>Dátum poslednej zmeny:</w:t>
            </w:r>
            <w:r w:rsidRPr="000D71EF">
              <w:t xml:space="preserve"> </w:t>
            </w:r>
          </w:p>
        </w:tc>
      </w:tr>
      <w:tr w:rsidR="00431AF9" w:rsidRPr="000D71EF" w:rsidTr="00617909">
        <w:tc>
          <w:tcPr>
            <w:tcW w:w="9322" w:type="dxa"/>
            <w:gridSpan w:val="2"/>
          </w:tcPr>
          <w:p w:rsidR="00431AF9" w:rsidRPr="000D71EF" w:rsidRDefault="00431AF9" w:rsidP="00617909">
            <w:pPr>
              <w:tabs>
                <w:tab w:val="left" w:pos="1530"/>
              </w:tabs>
            </w:pPr>
            <w:r w:rsidRPr="000D71EF">
              <w:rPr>
                <w:b/>
              </w:rPr>
              <w:t>Schválil:</w:t>
            </w:r>
            <w:r w:rsidRPr="000D71EF">
              <w:t xml:space="preserve"> </w:t>
            </w:r>
          </w:p>
        </w:tc>
      </w:tr>
    </w:tbl>
    <w:p w:rsidR="00431AF9" w:rsidRPr="000D71EF" w:rsidRDefault="00431AF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2A0C79" w:rsidRPr="000D71EF" w:rsidRDefault="002A0C79" w:rsidP="00431AF9">
      <w:pPr>
        <w:ind w:left="720"/>
        <w:jc w:val="both"/>
      </w:pPr>
    </w:p>
    <w:p w:rsidR="008358D1" w:rsidRPr="000D71EF" w:rsidRDefault="008358D1" w:rsidP="00431AF9">
      <w:pPr>
        <w:ind w:left="720"/>
        <w:jc w:val="right"/>
      </w:pPr>
    </w:p>
    <w:p w:rsidR="008358D1" w:rsidRPr="000D71EF" w:rsidRDefault="008358D1" w:rsidP="00431AF9">
      <w:pPr>
        <w:ind w:left="720"/>
        <w:jc w:val="right"/>
      </w:pPr>
    </w:p>
    <w:p w:rsidR="004D5FCB" w:rsidRPr="000D71EF" w:rsidRDefault="004D5FCB" w:rsidP="00431AF9">
      <w:pPr>
        <w:ind w:left="720"/>
        <w:jc w:val="right"/>
      </w:pPr>
    </w:p>
    <w:p w:rsidR="00431AF9" w:rsidRPr="000D71EF" w:rsidRDefault="00431AF9" w:rsidP="00431AF9">
      <w:pPr>
        <w:ind w:left="720"/>
        <w:jc w:val="right"/>
      </w:pPr>
      <w:r w:rsidRPr="000D71EF">
        <w:lastRenderedPageBreak/>
        <w:t>Informačný list predmetu</w:t>
      </w: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4222"/>
        <w:gridCol w:w="5066"/>
      </w:tblGrid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b/>
                <w:bCs/>
              </w:rPr>
              <w:t>Vysoká škola:</w:t>
            </w:r>
            <w:r w:rsidRPr="000D71EF">
              <w:t xml:space="preserve"> </w:t>
            </w:r>
            <w:r w:rsidRPr="000D71EF">
              <w:rPr>
                <w:iCs/>
              </w:rPr>
              <w:t>Univerzita Komenského v Bratislave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b/>
                <w:bCs/>
              </w:rPr>
              <w:t>Fakulta:</w:t>
            </w:r>
            <w:r w:rsidRPr="000D71EF">
              <w:t xml:space="preserve"> </w:t>
            </w:r>
            <w:r w:rsidRPr="000D71EF">
              <w:rPr>
                <w:iCs/>
              </w:rPr>
              <w:t>Právnická fakulta</w:t>
            </w:r>
          </w:p>
        </w:tc>
      </w:tr>
      <w:tr w:rsidR="00431AF9" w:rsidRPr="000D71EF" w:rsidTr="00617909">
        <w:tc>
          <w:tcPr>
            <w:tcW w:w="2273" w:type="pct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b/>
                <w:bCs/>
              </w:rPr>
              <w:t>Kód predmetu:</w:t>
            </w:r>
            <w:r w:rsidRPr="000D71EF">
              <w:t xml:space="preserve"> </w:t>
            </w:r>
          </w:p>
        </w:tc>
        <w:tc>
          <w:tcPr>
            <w:tcW w:w="2727" w:type="pct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  <w:rPr>
                <w:b/>
                <w:bCs/>
              </w:rPr>
            </w:pPr>
            <w:r w:rsidRPr="000D71EF">
              <w:rPr>
                <w:b/>
                <w:bCs/>
              </w:rPr>
              <w:t xml:space="preserve">Názov predmetu: </w:t>
            </w:r>
            <w:r w:rsidRPr="000D71EF">
              <w:rPr>
                <w:i/>
                <w:iCs/>
              </w:rPr>
              <w:t>Diplomová práca a obhajoba diplomovej práce</w:t>
            </w:r>
          </w:p>
        </w:tc>
      </w:tr>
      <w:tr w:rsidR="00431AF9" w:rsidRPr="000D71EF" w:rsidTr="00617909">
        <w:trPr>
          <w:trHeight w:val="717"/>
        </w:trPr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</w:pPr>
            <w:r w:rsidRPr="000D71EF">
              <w:rPr>
                <w:b/>
                <w:bCs/>
              </w:rPr>
              <w:t>Druh, rozsah a metóda vzdelávacích činností:</w:t>
            </w:r>
          </w:p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iCs/>
              </w:rPr>
              <w:t xml:space="preserve">Denná forma štúdia: 300 hodín </w:t>
            </w:r>
            <w:proofErr w:type="spellStart"/>
            <w:r w:rsidRPr="000D71EF">
              <w:rPr>
                <w:iCs/>
              </w:rPr>
              <w:t>samoštúdia</w:t>
            </w:r>
            <w:proofErr w:type="spellEnd"/>
            <w:r w:rsidRPr="000D71EF">
              <w:rPr>
                <w:iCs/>
              </w:rPr>
              <w:t>, kombinovaná metóda.</w:t>
            </w:r>
          </w:p>
        </w:tc>
      </w:tr>
      <w:tr w:rsidR="00431AF9" w:rsidRPr="000D71EF" w:rsidTr="00617909">
        <w:trPr>
          <w:trHeight w:val="286"/>
        </w:trPr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</w:pPr>
            <w:r w:rsidRPr="000D71EF">
              <w:rPr>
                <w:b/>
                <w:bCs/>
              </w:rPr>
              <w:t xml:space="preserve">Počet kreditov: </w:t>
            </w:r>
            <w:r w:rsidRPr="000D71EF">
              <w:rPr>
                <w:iCs/>
              </w:rPr>
              <w:t>10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r w:rsidRPr="000D71EF">
              <w:rPr>
                <w:b/>
                <w:bCs/>
              </w:rPr>
              <w:t>Odporúčaný semester/</w:t>
            </w:r>
            <w:proofErr w:type="spellStart"/>
            <w:r w:rsidRPr="000D71EF">
              <w:rPr>
                <w:b/>
                <w:bCs/>
              </w:rPr>
              <w:t>trimester</w:t>
            </w:r>
            <w:proofErr w:type="spellEnd"/>
            <w:r w:rsidRPr="000D71EF">
              <w:rPr>
                <w:b/>
                <w:bCs/>
              </w:rPr>
              <w:t xml:space="preserve"> štúdia:</w:t>
            </w:r>
            <w:r w:rsidRPr="000D71EF">
              <w:t xml:space="preserve"> </w:t>
            </w:r>
            <w:r w:rsidR="0022493F" w:rsidRPr="000D71EF">
              <w:rPr>
                <w:iCs/>
              </w:rPr>
              <w:t>4. s</w:t>
            </w:r>
            <w:r w:rsidRPr="000D71EF">
              <w:rPr>
                <w:iCs/>
              </w:rPr>
              <w:t>emester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</w:pPr>
            <w:r w:rsidRPr="000D71EF">
              <w:rPr>
                <w:b/>
                <w:bCs/>
              </w:rPr>
              <w:t>Stupeň štúdia:</w:t>
            </w:r>
            <w:r w:rsidRPr="000D71EF">
              <w:t xml:space="preserve"> </w:t>
            </w:r>
            <w:r w:rsidRPr="000D71EF">
              <w:rPr>
                <w:iCs/>
              </w:rPr>
              <w:t>2.</w:t>
            </w:r>
            <w:r w:rsidRPr="000D71EF">
              <w:t xml:space="preserve"> </w:t>
            </w:r>
            <w:r w:rsidR="00155DE8" w:rsidRPr="000D71EF">
              <w:t>stupeň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b/>
                <w:bCs/>
              </w:rPr>
              <w:t>Podmieňujúce predmety:</w:t>
            </w:r>
            <w:r w:rsidRPr="000D71EF">
              <w:t xml:space="preserve"> 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</w:pPr>
            <w:r w:rsidRPr="000D71EF">
              <w:rPr>
                <w:b/>
                <w:bCs/>
              </w:rPr>
              <w:t>Podmienky na absolvovanie predmetu:</w:t>
            </w:r>
            <w:r w:rsidRPr="000D71EF">
              <w:t xml:space="preserve"> </w:t>
            </w:r>
          </w:p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iCs/>
              </w:rPr>
              <w:t xml:space="preserve">Priebežné hodnotenie:  </w:t>
            </w:r>
          </w:p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0D71EF">
              <w:rPr>
                <w:iCs/>
              </w:rPr>
              <w:t>Záverečné hodnotenie: úspešná ústna obhajoba diplomovej práce (100%)</w:t>
            </w:r>
          </w:p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0D71EF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  <w:jc w:val="both"/>
              <w:rPr>
                <w:iCs/>
              </w:rPr>
            </w:pPr>
            <w:r w:rsidRPr="000D71EF">
              <w:rPr>
                <w:b/>
                <w:bCs/>
              </w:rPr>
              <w:t>Výsledky vzdelávania:</w:t>
            </w:r>
            <w:r w:rsidRPr="000D71EF">
              <w:t> </w:t>
            </w:r>
            <w:r w:rsidRPr="000D71EF">
              <w:rPr>
                <w:iCs/>
              </w:rPr>
              <w:t>Získať aktualizované poznatky z aplikovanej metodiky spracovania diplomovej práce. Vedieť analyzovať a syntetizovať poznatky z konzultácií, pokynov a praktických postupov pre spracovanie zadanej úlohy (téma diplomovej práce). Vedieť formulovať a riešiť zložitejšie problémy súvisiace s riešením zadanej úlohy.</w:t>
            </w:r>
            <w:r w:rsidRPr="000D71EF">
              <w:t xml:space="preserve"> 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  <w:jc w:val="both"/>
            </w:pPr>
            <w:r w:rsidRPr="000D71EF">
              <w:rPr>
                <w:b/>
                <w:bCs/>
              </w:rPr>
              <w:t>Stručná osnova predmetu:</w:t>
            </w:r>
            <w:r w:rsidRPr="000D71EF">
              <w:t xml:space="preserve"> </w:t>
            </w:r>
          </w:p>
          <w:p w:rsidR="00431AF9" w:rsidRPr="000D71EF" w:rsidRDefault="00431AF9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Metodické pokyn</w:t>
            </w:r>
            <w:r w:rsidR="00D62626" w:rsidRPr="000D71EF">
              <w:rPr>
                <w:iCs/>
              </w:rPr>
              <w:t>y spracovania diplomovej práce I</w:t>
            </w:r>
          </w:p>
          <w:p w:rsidR="00D62626" w:rsidRPr="000D71EF" w:rsidRDefault="00D62626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Metodické pokyny spracovania diplomovej práce II</w:t>
            </w:r>
          </w:p>
          <w:p w:rsidR="00431AF9" w:rsidRPr="000D71EF" w:rsidRDefault="00431AF9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 xml:space="preserve">Interný predpis pre spracovanie </w:t>
            </w:r>
            <w:r w:rsidR="00D62626" w:rsidRPr="000D71EF">
              <w:rPr>
                <w:iCs/>
              </w:rPr>
              <w:t>práce</w:t>
            </w:r>
          </w:p>
          <w:p w:rsidR="00431AF9" w:rsidRPr="000D71EF" w:rsidRDefault="00D62626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Forma a obsah práce I</w:t>
            </w:r>
          </w:p>
          <w:p w:rsidR="00D62626" w:rsidRPr="000D71EF" w:rsidRDefault="00D62626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Forma a obsah práce II</w:t>
            </w:r>
          </w:p>
          <w:p w:rsidR="00431AF9" w:rsidRPr="000D71EF" w:rsidRDefault="00431AF9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Metodika a postup</w:t>
            </w:r>
            <w:r w:rsidR="00D62626" w:rsidRPr="000D71EF">
              <w:rPr>
                <w:iCs/>
              </w:rPr>
              <w:t xml:space="preserve"> spracovania jednotlivých časti I</w:t>
            </w:r>
          </w:p>
          <w:p w:rsidR="00D62626" w:rsidRPr="000D71EF" w:rsidRDefault="00D62626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Metodika a postup spracovania jednotlivých časti II</w:t>
            </w:r>
          </w:p>
          <w:p w:rsidR="00D62626" w:rsidRPr="000D71EF" w:rsidRDefault="00D62626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Metodika a postup spracovania jednotlivých časti III</w:t>
            </w:r>
          </w:p>
          <w:p w:rsidR="00D62626" w:rsidRPr="000D71EF" w:rsidRDefault="00D62626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Metodika a postup spracovania jednotlivých časti IV</w:t>
            </w:r>
          </w:p>
          <w:p w:rsidR="00431AF9" w:rsidRPr="000D71EF" w:rsidRDefault="00431AF9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Formulácia pokynov pre sprac</w:t>
            </w:r>
            <w:r w:rsidR="00D62626" w:rsidRPr="000D71EF">
              <w:rPr>
                <w:iCs/>
              </w:rPr>
              <w:t>ovanie a spresnenie témy práce</w:t>
            </w:r>
          </w:p>
          <w:p w:rsidR="00431AF9" w:rsidRPr="000D71EF" w:rsidRDefault="00431AF9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 xml:space="preserve">Konzultácia k postupu riešenia, priebežným výsledkom riešenia, koncepcii spracovania práce, spracovaniu čiastkových </w:t>
            </w:r>
            <w:r w:rsidR="00D62626" w:rsidRPr="000D71EF">
              <w:rPr>
                <w:iCs/>
              </w:rPr>
              <w:t>kapitol práce</w:t>
            </w:r>
          </w:p>
          <w:p w:rsidR="00431AF9" w:rsidRPr="000D71EF" w:rsidRDefault="00431AF9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Priebežné obhajoby čiastkových výsledkov a čiast</w:t>
            </w:r>
            <w:r w:rsidR="00D62626" w:rsidRPr="000D71EF">
              <w:rPr>
                <w:iCs/>
              </w:rPr>
              <w:t>kových riešení práce (klauzuly)</w:t>
            </w:r>
          </w:p>
          <w:p w:rsidR="00431AF9" w:rsidRPr="000D71EF" w:rsidRDefault="00D62626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Diskusia</w:t>
            </w:r>
          </w:p>
          <w:p w:rsidR="00431AF9" w:rsidRPr="000D71EF" w:rsidRDefault="00D62626" w:rsidP="0022493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26" w:right="-6" w:hanging="426"/>
              <w:jc w:val="both"/>
              <w:rPr>
                <w:iCs/>
              </w:rPr>
            </w:pPr>
            <w:r w:rsidRPr="000D71EF">
              <w:rPr>
                <w:iCs/>
              </w:rPr>
              <w:t>Záverečná obhajoba práce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  <w:rPr>
                <w:b/>
                <w:bCs/>
              </w:rPr>
            </w:pPr>
            <w:r w:rsidRPr="000D71EF">
              <w:rPr>
                <w:b/>
                <w:bCs/>
              </w:rPr>
              <w:t>Odporúčaná literatúra:</w:t>
            </w:r>
          </w:p>
          <w:p w:rsidR="00431AF9" w:rsidRPr="000D71EF" w:rsidRDefault="00431AF9" w:rsidP="00617909">
            <w:pPr>
              <w:rPr>
                <w:color w:val="0D0D0D" w:themeColor="text1" w:themeTint="F2"/>
              </w:rPr>
            </w:pPr>
            <w:proofErr w:type="spellStart"/>
            <w:r w:rsidRPr="000D71EF">
              <w:rPr>
                <w:color w:val="0D0D0D" w:themeColor="text1" w:themeTint="F2"/>
              </w:rPr>
              <w:t>Bui</w:t>
            </w:r>
            <w:proofErr w:type="spellEnd"/>
            <w:r w:rsidRPr="000D71EF">
              <w:rPr>
                <w:color w:val="0D0D0D" w:themeColor="text1" w:themeTint="F2"/>
              </w:rPr>
              <w:t xml:space="preserve">, Y. N.: </w:t>
            </w:r>
            <w:proofErr w:type="spellStart"/>
            <w:r w:rsidRPr="000D71EF">
              <w:rPr>
                <w:color w:val="0D0D0D" w:themeColor="text1" w:themeTint="F2"/>
              </w:rPr>
              <w:t>How</w:t>
            </w:r>
            <w:proofErr w:type="spellEnd"/>
            <w:r w:rsidRPr="000D71EF">
              <w:rPr>
                <w:color w:val="0D0D0D" w:themeColor="text1" w:themeTint="F2"/>
              </w:rPr>
              <w:t xml:space="preserve"> to </w:t>
            </w:r>
            <w:proofErr w:type="spellStart"/>
            <w:r w:rsidRPr="000D71EF">
              <w:rPr>
                <w:color w:val="0D0D0D" w:themeColor="text1" w:themeTint="F2"/>
              </w:rPr>
              <w:t>Write</w:t>
            </w:r>
            <w:proofErr w:type="spellEnd"/>
            <w:r w:rsidRPr="000D71EF">
              <w:rPr>
                <w:color w:val="0D0D0D" w:themeColor="text1" w:themeTint="F2"/>
              </w:rPr>
              <w:t xml:space="preserve"> a </w:t>
            </w:r>
            <w:proofErr w:type="spellStart"/>
            <w:r w:rsidRPr="000D71EF">
              <w:rPr>
                <w:color w:val="0D0D0D" w:themeColor="text1" w:themeTint="F2"/>
              </w:rPr>
              <w:t>Masters</w:t>
            </w:r>
            <w:proofErr w:type="spellEnd"/>
            <w:r w:rsidRPr="000D71EF">
              <w:rPr>
                <w:color w:val="0D0D0D" w:themeColor="text1" w:themeTint="F2"/>
              </w:rPr>
              <w:t xml:space="preserve"> </w:t>
            </w:r>
            <w:proofErr w:type="spellStart"/>
            <w:r w:rsidRPr="000D71EF">
              <w:rPr>
                <w:color w:val="0D0D0D" w:themeColor="text1" w:themeTint="F2"/>
              </w:rPr>
              <w:t>Thesis</w:t>
            </w:r>
            <w:proofErr w:type="spellEnd"/>
            <w:r w:rsidRPr="000D71EF">
              <w:rPr>
                <w:color w:val="0D0D0D" w:themeColor="text1" w:themeTint="F2"/>
              </w:rPr>
              <w:t xml:space="preserve">. New York: SAGE </w:t>
            </w:r>
            <w:proofErr w:type="spellStart"/>
            <w:r w:rsidRPr="000D71EF">
              <w:rPr>
                <w:color w:val="0D0D0D" w:themeColor="text1" w:themeTint="F2"/>
              </w:rPr>
              <w:t>Publications</w:t>
            </w:r>
            <w:proofErr w:type="spellEnd"/>
            <w:r w:rsidRPr="000D71EF">
              <w:rPr>
                <w:color w:val="0D0D0D" w:themeColor="text1" w:themeTint="F2"/>
              </w:rPr>
              <w:t xml:space="preserve">, </w:t>
            </w:r>
            <w:proofErr w:type="spellStart"/>
            <w:r w:rsidRPr="000D71EF">
              <w:rPr>
                <w:color w:val="0D0D0D" w:themeColor="text1" w:themeTint="F2"/>
              </w:rPr>
              <w:t>Inc</w:t>
            </w:r>
            <w:proofErr w:type="spellEnd"/>
            <w:r w:rsidRPr="000D71EF">
              <w:rPr>
                <w:color w:val="0D0D0D" w:themeColor="text1" w:themeTint="F2"/>
              </w:rPr>
              <w:t>, 2013.</w:t>
            </w:r>
          </w:p>
          <w:p w:rsidR="00431AF9" w:rsidRPr="000D71EF" w:rsidRDefault="00431AF9" w:rsidP="00617909">
            <w:pPr>
              <w:rPr>
                <w:color w:val="0D0D0D" w:themeColor="text1" w:themeTint="F2"/>
                <w:shd w:val="clear" w:color="auto" w:fill="FFFFFF"/>
              </w:rPr>
            </w:pPr>
            <w:proofErr w:type="spellStart"/>
            <w:r w:rsidRPr="000D71EF">
              <w:rPr>
                <w:color w:val="0D0D0D" w:themeColor="text1" w:themeTint="F2"/>
              </w:rPr>
              <w:t>Glanz</w:t>
            </w:r>
            <w:proofErr w:type="spellEnd"/>
            <w:r w:rsidRPr="000D71EF">
              <w:rPr>
                <w:color w:val="0D0D0D" w:themeColor="text1" w:themeTint="F2"/>
              </w:rPr>
              <w:t xml:space="preserve">, J.: Fundamentals </w:t>
            </w:r>
            <w:proofErr w:type="spellStart"/>
            <w:r w:rsidRPr="000D71EF">
              <w:rPr>
                <w:color w:val="0D0D0D" w:themeColor="text1" w:themeTint="F2"/>
              </w:rPr>
              <w:t>of</w:t>
            </w:r>
            <w:proofErr w:type="spellEnd"/>
            <w:r w:rsidRPr="000D71EF">
              <w:rPr>
                <w:color w:val="0D0D0D" w:themeColor="text1" w:themeTint="F2"/>
              </w:rPr>
              <w:t xml:space="preserve"> </w:t>
            </w:r>
            <w:proofErr w:type="spellStart"/>
            <w:r w:rsidRPr="000D71EF">
              <w:rPr>
                <w:color w:val="0D0D0D" w:themeColor="text1" w:themeTint="F2"/>
              </w:rPr>
              <w:t>Educational</w:t>
            </w:r>
            <w:proofErr w:type="spellEnd"/>
            <w:r w:rsidRPr="000D71EF">
              <w:rPr>
                <w:color w:val="0D0D0D" w:themeColor="text1" w:themeTint="F2"/>
              </w:rPr>
              <w:t xml:space="preserve"> </w:t>
            </w:r>
            <w:proofErr w:type="spellStart"/>
            <w:r w:rsidRPr="000D71EF">
              <w:rPr>
                <w:color w:val="0D0D0D" w:themeColor="text1" w:themeTint="F2"/>
              </w:rPr>
              <w:t>Research</w:t>
            </w:r>
            <w:proofErr w:type="spellEnd"/>
            <w:r w:rsidRPr="000D71EF">
              <w:rPr>
                <w:color w:val="0D0D0D" w:themeColor="text1" w:themeTint="F2"/>
              </w:rPr>
              <w:t xml:space="preserve">. </w:t>
            </w:r>
            <w:proofErr w:type="spellStart"/>
            <w:r w:rsidRPr="000D71EF">
              <w:rPr>
                <w:color w:val="0D0D0D" w:themeColor="text1" w:themeTint="F2"/>
              </w:rPr>
              <w:t>Lanham</w:t>
            </w:r>
            <w:proofErr w:type="spellEnd"/>
            <w:r w:rsidRPr="000D71EF">
              <w:rPr>
                <w:color w:val="0D0D0D" w:themeColor="text1" w:themeTint="F2"/>
              </w:rPr>
              <w:t xml:space="preserve">: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Rowman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 &amp;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Littlefield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Publishers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>, 2005.</w:t>
            </w:r>
          </w:p>
          <w:p w:rsidR="00431AF9" w:rsidRPr="000D71EF" w:rsidRDefault="00431AF9" w:rsidP="00617909">
            <w:pPr>
              <w:rPr>
                <w:color w:val="0D0D0D" w:themeColor="text1" w:themeTint="F2"/>
                <w:shd w:val="clear" w:color="auto" w:fill="FFFFFF"/>
              </w:rPr>
            </w:pP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Leavy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, P.: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The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Oxford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Handbook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of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Qualitative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Research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.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Oxford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>: OUP, 2014.</w:t>
            </w:r>
          </w:p>
          <w:p w:rsidR="00431AF9" w:rsidRPr="000D71EF" w:rsidRDefault="00431AF9" w:rsidP="00617909">
            <w:pPr>
              <w:rPr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Skern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, T.: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Writing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Scientific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English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>: A 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Workbook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 xml:space="preserve">. </w:t>
            </w:r>
            <w:proofErr w:type="spellStart"/>
            <w:r w:rsidRPr="000D71EF">
              <w:rPr>
                <w:color w:val="0D0D0D" w:themeColor="text1" w:themeTint="F2"/>
                <w:shd w:val="clear" w:color="auto" w:fill="FFFFFF"/>
              </w:rPr>
              <w:t>Stuttgart</w:t>
            </w:r>
            <w:proofErr w:type="spellEnd"/>
            <w:r w:rsidRPr="000D71EF">
              <w:rPr>
                <w:color w:val="0D0D0D" w:themeColor="text1" w:themeTint="F2"/>
                <w:shd w:val="clear" w:color="auto" w:fill="FFFFFF"/>
              </w:rPr>
              <w:t>: UTB, 2009</w:t>
            </w:r>
            <w:r w:rsidRPr="000D71EF">
              <w:rPr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:rsidR="00431AF9" w:rsidRPr="000D71EF" w:rsidRDefault="00431AF9" w:rsidP="00617909">
            <w:pPr>
              <w:rPr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0D71EF">
              <w:t>Volokh</w:t>
            </w:r>
            <w:proofErr w:type="spellEnd"/>
            <w:r w:rsidRPr="000D71EF">
              <w:t xml:space="preserve">, E.: </w:t>
            </w:r>
            <w:proofErr w:type="spellStart"/>
            <w:r w:rsidRPr="000D71EF">
              <w:rPr>
                <w:iCs/>
              </w:rPr>
              <w:t>Writing</w:t>
            </w:r>
            <w:proofErr w:type="spellEnd"/>
            <w:r w:rsidRPr="000D71EF"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review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articles</w:t>
            </w:r>
            <w:proofErr w:type="spellEnd"/>
            <w:r w:rsidRPr="000D71EF">
              <w:rPr>
                <w:iCs/>
              </w:rPr>
              <w:t xml:space="preserve">, </w:t>
            </w:r>
            <w:proofErr w:type="spellStart"/>
            <w:r w:rsidRPr="000D71EF">
              <w:rPr>
                <w:iCs/>
              </w:rPr>
              <w:t>student</w:t>
            </w:r>
            <w:proofErr w:type="spellEnd"/>
            <w:r w:rsidRPr="000D71EF">
              <w:rPr>
                <w:iCs/>
              </w:rPr>
              <w:t xml:space="preserve"> notes, </w:t>
            </w:r>
            <w:proofErr w:type="spellStart"/>
            <w:r w:rsidRPr="000D71EF">
              <w:rPr>
                <w:iCs/>
              </w:rPr>
              <w:t>seminar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papers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getting</w:t>
            </w:r>
            <w:proofErr w:type="spellEnd"/>
            <w:r w:rsidRPr="000D71EF">
              <w:rPr>
                <w:iCs/>
              </w:rPr>
              <w:t xml:space="preserve"> on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review</w:t>
            </w:r>
            <w:proofErr w:type="spellEnd"/>
            <w:r w:rsidRPr="000D71EF">
              <w:t xml:space="preserve">. New York: </w:t>
            </w:r>
            <w:proofErr w:type="spellStart"/>
            <w:r w:rsidRPr="000D71EF">
              <w:t>Foundation</w:t>
            </w:r>
            <w:proofErr w:type="spellEnd"/>
            <w:r w:rsidRPr="000D71EF">
              <w:t xml:space="preserve"> press, 2007.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b/>
                <w:bCs/>
              </w:rPr>
              <w:t>Jazyk, ktorého znalosť je potrebná na absolvovanie predmetu:</w:t>
            </w:r>
            <w:r w:rsidRPr="000D71EF">
              <w:t xml:space="preserve"> </w:t>
            </w:r>
            <w:r w:rsidRPr="000D71EF">
              <w:rPr>
                <w:iCs/>
              </w:rPr>
              <w:t>anglický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rPr>
                <w:iCs/>
              </w:rPr>
            </w:pPr>
            <w:r w:rsidRPr="000D71EF">
              <w:rPr>
                <w:b/>
                <w:bCs/>
              </w:rPr>
              <w:t xml:space="preserve">Poznámky: 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rPr>
                <w:b/>
                <w:bCs/>
              </w:rPr>
            </w:pPr>
            <w:r w:rsidRPr="000D71EF">
              <w:rPr>
                <w:b/>
                <w:bCs/>
              </w:rPr>
              <w:t>Hodnotenie predmetov</w:t>
            </w:r>
          </w:p>
          <w:p w:rsidR="00431AF9" w:rsidRPr="000D71EF" w:rsidRDefault="00431AF9" w:rsidP="00617909">
            <w:pPr>
              <w:rPr>
                <w:iCs/>
              </w:rPr>
            </w:pPr>
            <w:r w:rsidRPr="000D71EF">
              <w:rPr>
                <w:iCs/>
              </w:rPr>
              <w:lastRenderedPageBreak/>
              <w:t xml:space="preserve">Celkový počet hodnotených študentov: </w:t>
            </w: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1AF9" w:rsidRPr="000D71EF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  <w:r w:rsidRPr="000D71EF">
                    <w:t>FX</w:t>
                  </w:r>
                </w:p>
              </w:tc>
            </w:tr>
            <w:tr w:rsidR="00431AF9" w:rsidRPr="000D71EF" w:rsidTr="00617909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AF9" w:rsidRPr="000D71EF" w:rsidRDefault="00431AF9" w:rsidP="00617909">
                  <w:pPr>
                    <w:jc w:val="center"/>
                  </w:pPr>
                </w:p>
              </w:tc>
            </w:tr>
          </w:tbl>
          <w:p w:rsidR="00431AF9" w:rsidRPr="000D71EF" w:rsidRDefault="00431AF9" w:rsidP="00617909">
            <w:pPr>
              <w:rPr>
                <w:iCs/>
              </w:rPr>
            </w:pP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jc w:val="both"/>
            </w:pPr>
            <w:r w:rsidRPr="000D71EF">
              <w:rPr>
                <w:b/>
                <w:bCs/>
              </w:rPr>
              <w:lastRenderedPageBreak/>
              <w:t>Vyučujúci:</w:t>
            </w:r>
            <w:r w:rsidRPr="000D71EF">
              <w:t xml:space="preserve"> doc. JUDr. Peter </w:t>
            </w:r>
            <w:proofErr w:type="spellStart"/>
            <w:r w:rsidRPr="000D71EF">
              <w:t>Vršanský</w:t>
            </w:r>
            <w:proofErr w:type="spellEnd"/>
            <w:r w:rsidRPr="000D71EF">
              <w:t xml:space="preserve">, CSc., JUDr. Miroslava </w:t>
            </w:r>
            <w:proofErr w:type="spellStart"/>
            <w:r w:rsidRPr="000D71EF">
              <w:t>Vozáryová</w:t>
            </w:r>
            <w:proofErr w:type="spellEnd"/>
            <w:r w:rsidRPr="000D71EF">
              <w:t xml:space="preserve">, PhD., JUDr. Katarína </w:t>
            </w:r>
            <w:proofErr w:type="spellStart"/>
            <w:r w:rsidRPr="000D71EF">
              <w:t>Burdová</w:t>
            </w:r>
            <w:proofErr w:type="spellEnd"/>
            <w:r w:rsidRPr="000D71EF">
              <w:t xml:space="preserve">, PhD., Ing. Mgr. Ondrej </w:t>
            </w:r>
            <w:proofErr w:type="spellStart"/>
            <w:r w:rsidRPr="000D71EF">
              <w:t>Blažo</w:t>
            </w:r>
            <w:proofErr w:type="spellEnd"/>
            <w:r w:rsidRPr="000D71EF">
              <w:t>, PhD., JUDr. Daniela Ježová, PhD., LLM., Mgr. Kristína Považanová,</w:t>
            </w:r>
            <w:r w:rsidR="005D0D82" w:rsidRPr="000D71EF">
              <w:t xml:space="preserve"> </w:t>
            </w:r>
            <w:r w:rsidR="005D0D82" w:rsidRPr="000D71EF">
              <w:t xml:space="preserve">JUDr. Hana </w:t>
            </w:r>
            <w:proofErr w:type="spellStart"/>
            <w:r w:rsidR="005D0D82" w:rsidRPr="000D71EF">
              <w:t>Kováčiková</w:t>
            </w:r>
            <w:proofErr w:type="spellEnd"/>
            <w:r w:rsidR="005D0D82" w:rsidRPr="000D71EF">
              <w:t>, PhD.</w:t>
            </w:r>
            <w:r w:rsidR="005D0D82" w:rsidRPr="000D71EF">
              <w:t>,</w:t>
            </w:r>
            <w:r w:rsidRPr="000D71EF">
              <w:t xml:space="preserve"> JUDr. Andrej </w:t>
            </w:r>
            <w:proofErr w:type="spellStart"/>
            <w:r w:rsidRPr="000D71EF">
              <w:t>Poruban</w:t>
            </w:r>
            <w:proofErr w:type="spellEnd"/>
            <w:r w:rsidRPr="000D71EF">
              <w:t>, PhD. a ďalší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right="-6"/>
            </w:pPr>
            <w:r w:rsidRPr="000D71EF">
              <w:rPr>
                <w:b/>
                <w:bCs/>
              </w:rPr>
              <w:t>Dátum poslednej zmeny:</w:t>
            </w:r>
            <w:r w:rsidRPr="000D71EF">
              <w:t xml:space="preserve"> </w:t>
            </w:r>
          </w:p>
        </w:tc>
      </w:tr>
      <w:tr w:rsidR="00431AF9" w:rsidRPr="000D71EF" w:rsidTr="00617909">
        <w:tc>
          <w:tcPr>
            <w:tcW w:w="5000" w:type="pct"/>
            <w:gridSpan w:val="2"/>
          </w:tcPr>
          <w:p w:rsidR="00431AF9" w:rsidRPr="000D71EF" w:rsidRDefault="00431AF9" w:rsidP="00617909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right="-6"/>
              <w:rPr>
                <w:iCs/>
              </w:rPr>
            </w:pPr>
            <w:r w:rsidRPr="000D71EF">
              <w:rPr>
                <w:b/>
                <w:bCs/>
              </w:rPr>
              <w:t xml:space="preserve">Schválil: </w:t>
            </w:r>
          </w:p>
        </w:tc>
      </w:tr>
    </w:tbl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/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431AF9" w:rsidRPr="000D71EF" w:rsidRDefault="00431AF9" w:rsidP="00431AF9">
      <w:pPr>
        <w:ind w:left="720"/>
        <w:jc w:val="both"/>
      </w:pPr>
    </w:p>
    <w:p w:rsidR="00A209A1" w:rsidRPr="000D71EF" w:rsidRDefault="00A209A1" w:rsidP="00431AF9">
      <w:pPr>
        <w:ind w:left="720"/>
        <w:jc w:val="right"/>
      </w:pPr>
    </w:p>
    <w:p w:rsidR="002A0C79" w:rsidRPr="000D71EF" w:rsidRDefault="002A0C79" w:rsidP="00431AF9">
      <w:pPr>
        <w:ind w:left="720"/>
        <w:jc w:val="right"/>
      </w:pPr>
    </w:p>
    <w:p w:rsidR="00431AF9" w:rsidRPr="000D71EF" w:rsidRDefault="00431AF9" w:rsidP="00431AF9">
      <w:pPr>
        <w:ind w:left="720"/>
        <w:jc w:val="right"/>
      </w:pPr>
      <w:r w:rsidRPr="000D71EF">
        <w:lastRenderedPageBreak/>
        <w:t>Informačný list predmetu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>Vysoká škola:</w:t>
            </w:r>
            <w:r w:rsidRPr="000D71EF">
              <w:t xml:space="preserve"> </w:t>
            </w:r>
            <w:r w:rsidRPr="000D71EF">
              <w:rPr>
                <w:iCs/>
              </w:rPr>
              <w:t>Univerzita Komenského v Bratislave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 xml:space="preserve">Fakulta: </w:t>
            </w:r>
            <w:r w:rsidRPr="000D71EF">
              <w:rPr>
                <w:iCs/>
              </w:rPr>
              <w:t>Právnická fakulta</w:t>
            </w:r>
          </w:p>
        </w:tc>
      </w:tr>
      <w:tr w:rsidR="00431AF9" w:rsidRPr="000D71EF" w:rsidTr="00617909">
        <w:tc>
          <w:tcPr>
            <w:tcW w:w="4606" w:type="dxa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>Kód predmetu:</w:t>
            </w:r>
          </w:p>
        </w:tc>
        <w:tc>
          <w:tcPr>
            <w:tcW w:w="4606" w:type="dxa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>Názov predmetu</w:t>
            </w:r>
            <w:r w:rsidRPr="000D71EF">
              <w:rPr>
                <w:b/>
                <w:bCs/>
                <w:i/>
              </w:rPr>
              <w:t xml:space="preserve">: </w:t>
            </w:r>
            <w:r w:rsidRPr="000D71EF">
              <w:rPr>
                <w:i/>
                <w:iCs/>
              </w:rPr>
              <w:t>Štátna skúška – súkromn</w:t>
            </w:r>
            <w:r w:rsidR="00E46DC7" w:rsidRPr="000D71EF">
              <w:rPr>
                <w:i/>
                <w:iCs/>
              </w:rPr>
              <w:t>oprávna oblasť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 xml:space="preserve">Druh, rozsah a metóda vzdelávacích činností: </w:t>
            </w:r>
          </w:p>
          <w:p w:rsidR="00431AF9" w:rsidRPr="000D71EF" w:rsidRDefault="00431AF9" w:rsidP="00C7192C">
            <w:pPr>
              <w:spacing w:after="0"/>
              <w:rPr>
                <w:iCs/>
              </w:rPr>
            </w:pPr>
            <w:r w:rsidRPr="000D71EF">
              <w:rPr>
                <w:iCs/>
              </w:rPr>
              <w:t>Denná</w:t>
            </w:r>
            <w:r w:rsidR="0022493F" w:rsidRPr="000D71EF">
              <w:rPr>
                <w:iCs/>
              </w:rPr>
              <w:t xml:space="preserve"> forma štúdia</w:t>
            </w:r>
            <w:r w:rsidRPr="000D71EF">
              <w:rPr>
                <w:iCs/>
              </w:rPr>
              <w:t xml:space="preserve">: 150 hodín </w:t>
            </w:r>
            <w:proofErr w:type="spellStart"/>
            <w:r w:rsidRPr="000D71EF">
              <w:rPr>
                <w:iCs/>
              </w:rPr>
              <w:t>samoštúdia</w:t>
            </w:r>
            <w:proofErr w:type="spellEnd"/>
            <w:r w:rsidRPr="000D71EF">
              <w:rPr>
                <w:iCs/>
              </w:rPr>
              <w:t xml:space="preserve"> za semester, dištančná metóda              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 xml:space="preserve">Počet kreditov: </w:t>
            </w:r>
            <w:r w:rsidRPr="000D71EF">
              <w:rPr>
                <w:iCs/>
              </w:rPr>
              <w:t>5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sz w:val="20"/>
                <w:szCs w:val="20"/>
              </w:rPr>
            </w:pPr>
            <w:r w:rsidRPr="000D71EF">
              <w:rPr>
                <w:b/>
                <w:bCs/>
              </w:rPr>
              <w:t>Odporúčaný semester/</w:t>
            </w:r>
            <w:proofErr w:type="spellStart"/>
            <w:r w:rsidRPr="000D71EF">
              <w:rPr>
                <w:b/>
                <w:bCs/>
              </w:rPr>
              <w:t>trimester</w:t>
            </w:r>
            <w:proofErr w:type="spellEnd"/>
            <w:r w:rsidRPr="000D71EF">
              <w:rPr>
                <w:b/>
                <w:bCs/>
              </w:rPr>
              <w:t xml:space="preserve"> štúdia:</w:t>
            </w:r>
            <w:r w:rsidRPr="000D71EF">
              <w:rPr>
                <w:sz w:val="20"/>
                <w:szCs w:val="20"/>
              </w:rPr>
              <w:t xml:space="preserve"> </w:t>
            </w:r>
            <w:r w:rsidRPr="000D71EF">
              <w:rPr>
                <w:iCs/>
              </w:rPr>
              <w:t xml:space="preserve">4. semester  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 xml:space="preserve">Stupeň štúdia: </w:t>
            </w:r>
            <w:r w:rsidRPr="000D71EF">
              <w:rPr>
                <w:iCs/>
              </w:rPr>
              <w:t>2.</w:t>
            </w:r>
            <w:r w:rsidR="00C7192C" w:rsidRPr="000D71EF">
              <w:rPr>
                <w:iCs/>
              </w:rPr>
              <w:t xml:space="preserve"> stupeň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 xml:space="preserve">Podmieňujúce predmety: </w:t>
            </w:r>
            <w:r w:rsidRPr="000D71EF">
              <w:rPr>
                <w:bCs/>
              </w:rPr>
              <w:t>Medzinárodné právo súkromné 1, Medzinárodné právo súkromné 2, Európske právo 1, Európske právo 2, Medzinárodné a európske pracovné právo a právo sociálneho zabezpečenia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>Podmienky na absolvovanie predmetu:</w:t>
            </w:r>
          </w:p>
          <w:p w:rsidR="00431AF9" w:rsidRPr="000D71EF" w:rsidRDefault="00431AF9" w:rsidP="00C7192C">
            <w:pPr>
              <w:spacing w:after="0"/>
              <w:rPr>
                <w:iCs/>
              </w:rPr>
            </w:pPr>
            <w:r w:rsidRPr="000D71EF">
              <w:rPr>
                <w:iCs/>
              </w:rPr>
              <w:t xml:space="preserve">Priebežné hodnotenie: </w:t>
            </w:r>
          </w:p>
          <w:p w:rsidR="00431AF9" w:rsidRPr="000D71EF" w:rsidRDefault="00431AF9" w:rsidP="00C7192C">
            <w:pPr>
              <w:spacing w:after="0"/>
              <w:rPr>
                <w:iCs/>
              </w:rPr>
            </w:pPr>
            <w:r w:rsidRPr="000D71EF">
              <w:rPr>
                <w:iCs/>
              </w:rPr>
              <w:t>Záverečné hodnotenie: ústna skúška a vypracovanie modelového prípadu</w:t>
            </w:r>
            <w:r w:rsidR="0022493F" w:rsidRPr="000D71EF">
              <w:rPr>
                <w:iCs/>
              </w:rPr>
              <w:t xml:space="preserve"> </w:t>
            </w:r>
            <w:r w:rsidRPr="000D71EF">
              <w:rPr>
                <w:iCs/>
              </w:rPr>
              <w:t xml:space="preserve"> (100%)</w:t>
            </w:r>
          </w:p>
          <w:p w:rsidR="00431AF9" w:rsidRPr="000D71EF" w:rsidRDefault="00431AF9" w:rsidP="00C7192C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0D71EF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jc w:val="both"/>
              <w:rPr>
                <w:b/>
                <w:bCs/>
              </w:rPr>
            </w:pPr>
            <w:r w:rsidRPr="000D71EF">
              <w:rPr>
                <w:b/>
                <w:bCs/>
              </w:rPr>
              <w:t xml:space="preserve">Výsledky vzdelávania: </w:t>
            </w:r>
            <w:r w:rsidRPr="000D71EF">
              <w:rPr>
                <w:iCs/>
              </w:rPr>
              <w:t>Študent získava vzdelávacie výstupy v oblasti medzinárodného práva súkromného, súkromnoprávnych aspektov európskeho práva a </w:t>
            </w:r>
            <w:r w:rsidRPr="000D71EF">
              <w:rPr>
                <w:bCs/>
              </w:rPr>
              <w:t>medzinárodného a európskeho pracovného práva a práva sociálneho zabezpečenia</w:t>
            </w:r>
            <w:r w:rsidRPr="000D71EF">
              <w:rPr>
                <w:iCs/>
              </w:rPr>
              <w:t>. Vie sumarizovať poznatky o náročných inštitútoch medzinárodného práva súkromného, súkromnoprávnych aspektov európskeho práva a </w:t>
            </w:r>
            <w:r w:rsidRPr="000D71EF">
              <w:rPr>
                <w:bCs/>
              </w:rPr>
              <w:t>medzinárodného a európskeho pracovného práva a práva sociálneho zabezpečenia</w:t>
            </w:r>
            <w:r w:rsidRPr="000D71EF">
              <w:rPr>
                <w:iCs/>
              </w:rPr>
              <w:t>.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>Stručná osnova predmetu:</w:t>
            </w:r>
          </w:p>
          <w:p w:rsidR="00431AF9" w:rsidRPr="000D71EF" w:rsidRDefault="00431AF9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 xml:space="preserve">Pojem, predmet, pramene a normy slovenského </w:t>
            </w:r>
            <w:r w:rsidR="00C5794B" w:rsidRPr="000D71EF">
              <w:rPr>
                <w:iCs/>
              </w:rPr>
              <w:t>medzinárodného práva súkromného</w:t>
            </w:r>
          </w:p>
          <w:p w:rsidR="00431AF9" w:rsidRPr="000D71EF" w:rsidRDefault="00431AF9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 xml:space="preserve">Štatúty </w:t>
            </w:r>
            <w:r w:rsidR="00C5794B" w:rsidRPr="000D71EF">
              <w:rPr>
                <w:iCs/>
              </w:rPr>
              <w:t>v medzinárodnom práve súkromnom</w:t>
            </w:r>
          </w:p>
          <w:p w:rsidR="00431AF9" w:rsidRPr="000D71EF" w:rsidRDefault="00431AF9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Právomoc slovenských súdov v medzinárodn</w:t>
            </w:r>
            <w:r w:rsidR="00C5794B" w:rsidRPr="000D71EF">
              <w:rPr>
                <w:iCs/>
              </w:rPr>
              <w:t>om civilnom konaní</w:t>
            </w:r>
          </w:p>
          <w:p w:rsidR="00431AF9" w:rsidRPr="000D71EF" w:rsidRDefault="00431AF9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Uzn</w:t>
            </w:r>
            <w:r w:rsidR="00C5794B" w:rsidRPr="000D71EF">
              <w:rPr>
                <w:iCs/>
              </w:rPr>
              <w:t>anie a výkon cudzích rozhodnutí</w:t>
            </w:r>
          </w:p>
          <w:p w:rsidR="00C5794B" w:rsidRPr="000D71EF" w:rsidRDefault="00431AF9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P</w:t>
            </w:r>
            <w:r w:rsidR="00C5794B" w:rsidRPr="000D71EF">
              <w:rPr>
                <w:iCs/>
              </w:rPr>
              <w:t>ojem, predmet, pramene a normy</w:t>
            </w:r>
          </w:p>
          <w:p w:rsidR="00C5794B" w:rsidRPr="000D71EF" w:rsidRDefault="00C5794B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Vývoj, inštitúcie</w:t>
            </w:r>
          </w:p>
          <w:p w:rsidR="00431AF9" w:rsidRPr="000D71EF" w:rsidRDefault="00C5794B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Súdny systém, vnútorný trh EÚ</w:t>
            </w:r>
          </w:p>
          <w:p w:rsidR="00C5794B" w:rsidRPr="000D71EF" w:rsidRDefault="00431AF9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Medz</w:t>
            </w:r>
            <w:r w:rsidR="00C5794B" w:rsidRPr="000D71EF">
              <w:rPr>
                <w:iCs/>
              </w:rPr>
              <w:t>inárodné pracovné právo – vývoj</w:t>
            </w:r>
            <w:r w:rsidRPr="000D71EF">
              <w:rPr>
                <w:iCs/>
              </w:rPr>
              <w:t xml:space="preserve"> </w:t>
            </w:r>
          </w:p>
          <w:p w:rsidR="00C5794B" w:rsidRPr="000D71EF" w:rsidRDefault="00C5794B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I</w:t>
            </w:r>
            <w:r w:rsidR="00431AF9" w:rsidRPr="000D71EF">
              <w:rPr>
                <w:iCs/>
              </w:rPr>
              <w:t>ndividuálne a kolektívne pracovné právo v rámci normotvorby Organizácie spojených národov (Všeobecná deklarácia ľudských práv, Pakt o občianskych a politických právach, Pakt o hospodárskych, so</w:t>
            </w:r>
            <w:r w:rsidRPr="000D71EF">
              <w:rPr>
                <w:iCs/>
              </w:rPr>
              <w:t xml:space="preserve">ciálnych a kultúrnych právach) </w:t>
            </w:r>
          </w:p>
          <w:p w:rsidR="00431AF9" w:rsidRPr="000D71EF" w:rsidRDefault="00C5794B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 xml:space="preserve">   Individuálne a kolektívne pracovné právo v rámci</w:t>
            </w:r>
            <w:r w:rsidR="00431AF9" w:rsidRPr="000D71EF">
              <w:rPr>
                <w:iCs/>
              </w:rPr>
              <w:t xml:space="preserve"> normotvorby Medzinárodnej </w:t>
            </w:r>
            <w:r w:rsidRPr="000D71EF">
              <w:rPr>
                <w:iCs/>
              </w:rPr>
              <w:t xml:space="preserve">   </w:t>
            </w:r>
            <w:r w:rsidR="00431AF9" w:rsidRPr="000D71EF">
              <w:rPr>
                <w:iCs/>
              </w:rPr>
              <w:t>organizácie</w:t>
            </w:r>
            <w:r w:rsidRPr="000D71EF">
              <w:rPr>
                <w:iCs/>
              </w:rPr>
              <w:t xml:space="preserve"> práce (dohovory a odporúčania)</w:t>
            </w:r>
          </w:p>
          <w:p w:rsidR="00C120D6" w:rsidRPr="000D71EF" w:rsidRDefault="00C120D6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Európske pracovné právo – vývoj I</w:t>
            </w:r>
          </w:p>
          <w:p w:rsidR="00C120D6" w:rsidRPr="000D71EF" w:rsidRDefault="00C120D6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Európske pracovné právo – vývoj II</w:t>
            </w:r>
          </w:p>
          <w:p w:rsidR="00C120D6" w:rsidRPr="000D71EF" w:rsidRDefault="00C120D6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I</w:t>
            </w:r>
            <w:r w:rsidR="00431AF9" w:rsidRPr="000D71EF">
              <w:rPr>
                <w:iCs/>
              </w:rPr>
              <w:t>ndividuálne a kolektívne pracovné právo v rámci normotvorby Rady Európy (Dohovor o ochrane ľudských práv a základných slobôd, Európska sociálna charta, Revido</w:t>
            </w:r>
            <w:r w:rsidRPr="000D71EF">
              <w:rPr>
                <w:iCs/>
              </w:rPr>
              <w:t xml:space="preserve">vaná Európska sociálna charta) </w:t>
            </w:r>
            <w:r w:rsidR="00431AF9" w:rsidRPr="000D71EF">
              <w:rPr>
                <w:iCs/>
              </w:rPr>
              <w:t xml:space="preserve"> </w:t>
            </w:r>
          </w:p>
          <w:p w:rsidR="00431AF9" w:rsidRPr="000D71EF" w:rsidRDefault="00C120D6" w:rsidP="0022493F">
            <w:pPr>
              <w:numPr>
                <w:ilvl w:val="0"/>
                <w:numId w:val="9"/>
              </w:numPr>
              <w:tabs>
                <w:tab w:val="clear" w:pos="-776"/>
                <w:tab w:val="num" w:pos="567"/>
              </w:tabs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 xml:space="preserve">Individuálne a kolektívne pracovné právo v rámci </w:t>
            </w:r>
            <w:r w:rsidR="00431AF9" w:rsidRPr="000D71EF">
              <w:rPr>
                <w:iCs/>
              </w:rPr>
              <w:t xml:space="preserve">normotvorby Európskej únie (sociálna </w:t>
            </w:r>
            <w:r w:rsidR="00431AF9" w:rsidRPr="000D71EF">
              <w:rPr>
                <w:iCs/>
              </w:rPr>
              <w:lastRenderedPageBreak/>
              <w:t>politika a pracovné právo, primárne a sekundárne pramene)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lastRenderedPageBreak/>
              <w:t>Odporúčaná literatúra:</w:t>
            </w:r>
          </w:p>
          <w:p w:rsidR="00431AF9" w:rsidRPr="000D71EF" w:rsidRDefault="00431AF9" w:rsidP="0022493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0D71EF">
              <w:t>Bogdan</w:t>
            </w:r>
            <w:proofErr w:type="spellEnd"/>
            <w:r w:rsidRPr="000D71EF">
              <w:t xml:space="preserve">, M.: </w:t>
            </w:r>
            <w:proofErr w:type="spellStart"/>
            <w:r w:rsidRPr="000D71EF">
              <w:rPr>
                <w:iCs/>
              </w:rPr>
              <w:t>Conscise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Introduction</w:t>
            </w:r>
            <w:proofErr w:type="spellEnd"/>
            <w:r w:rsidRPr="000D71EF">
              <w:rPr>
                <w:iCs/>
              </w:rPr>
              <w:t xml:space="preserve"> to EU </w:t>
            </w:r>
            <w:proofErr w:type="spellStart"/>
            <w:r w:rsidRPr="000D71EF">
              <w:rPr>
                <w:iCs/>
              </w:rPr>
              <w:t>Private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. </w:t>
            </w:r>
            <w:hyperlink r:id="rId21" w:history="1">
              <w:proofErr w:type="spellStart"/>
              <w:r w:rsidRPr="000D71EF">
                <w:t>Groningen</w:t>
              </w:r>
              <w:proofErr w:type="spellEnd"/>
              <w:r w:rsidRPr="000D71EF">
                <w:t xml:space="preserve">: </w:t>
              </w:r>
              <w:proofErr w:type="spellStart"/>
              <w:r w:rsidRPr="000D71EF">
                <w:t>Europa</w:t>
              </w:r>
              <w:proofErr w:type="spellEnd"/>
              <w:r w:rsidRPr="000D71EF">
                <w:t xml:space="preserve"> </w:t>
              </w:r>
              <w:proofErr w:type="spellStart"/>
              <w:r w:rsidRPr="000D71EF">
                <w:t>Law</w:t>
              </w:r>
              <w:proofErr w:type="spellEnd"/>
              <w:r w:rsidRPr="000D71EF">
                <w:t xml:space="preserve"> </w:t>
              </w:r>
              <w:proofErr w:type="spellStart"/>
              <w:r w:rsidRPr="000D71EF">
                <w:t>Publishing</w:t>
              </w:r>
              <w:proofErr w:type="spellEnd"/>
              <w:r w:rsidRPr="000D71EF">
                <w:t>, 2012</w:t>
              </w:r>
            </w:hyperlink>
            <w:r w:rsidRPr="000D71EF">
              <w:t>.</w:t>
            </w:r>
          </w:p>
          <w:p w:rsidR="00431AF9" w:rsidRPr="000D71EF" w:rsidRDefault="00431AF9" w:rsidP="0022493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0D71EF">
              <w:t>Bogdan</w:t>
            </w:r>
            <w:proofErr w:type="spellEnd"/>
            <w:r w:rsidRPr="000D71EF">
              <w:t xml:space="preserve">. M., </w:t>
            </w:r>
            <w:hyperlink r:id="rId22" w:history="1">
              <w:proofErr w:type="spellStart"/>
              <w:r w:rsidRPr="000D71EF">
                <w:t>Maunsbach</w:t>
              </w:r>
              <w:proofErr w:type="spellEnd"/>
            </w:hyperlink>
            <w:r w:rsidRPr="000D71EF">
              <w:t xml:space="preserve">, U.: </w:t>
            </w:r>
            <w:r w:rsidRPr="000D71EF">
              <w:rPr>
                <w:iCs/>
              </w:rPr>
              <w:t xml:space="preserve">EU </w:t>
            </w:r>
            <w:proofErr w:type="spellStart"/>
            <w:r w:rsidRPr="000D71EF">
              <w:rPr>
                <w:iCs/>
              </w:rPr>
              <w:t>Private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: </w:t>
            </w:r>
            <w:proofErr w:type="spellStart"/>
            <w:r w:rsidRPr="000D71EF">
              <w:rPr>
                <w:iCs/>
              </w:rPr>
              <w:t>An</w:t>
            </w:r>
            <w:proofErr w:type="spellEnd"/>
            <w:r w:rsidRPr="000D71EF">
              <w:rPr>
                <w:iCs/>
              </w:rPr>
              <w:t xml:space="preserve"> ECJ </w:t>
            </w:r>
            <w:proofErr w:type="spellStart"/>
            <w:r w:rsidRPr="000D71EF">
              <w:rPr>
                <w:iCs/>
              </w:rPr>
              <w:t>Casebook</w:t>
            </w:r>
            <w:proofErr w:type="spellEnd"/>
            <w:r w:rsidRPr="000D71EF">
              <w:rPr>
                <w:iCs/>
              </w:rPr>
              <w:t xml:space="preserve">. </w:t>
            </w:r>
            <w:hyperlink r:id="rId23" w:history="1">
              <w:proofErr w:type="spellStart"/>
              <w:r w:rsidRPr="000D71EF">
                <w:t>Groningen</w:t>
              </w:r>
              <w:proofErr w:type="spellEnd"/>
              <w:r w:rsidRPr="000D71EF">
                <w:t xml:space="preserve">: </w:t>
              </w:r>
              <w:proofErr w:type="spellStart"/>
              <w:r w:rsidRPr="000D71EF">
                <w:t>Europa</w:t>
              </w:r>
              <w:proofErr w:type="spellEnd"/>
              <w:r w:rsidRPr="000D71EF">
                <w:t xml:space="preserve"> </w:t>
              </w:r>
              <w:proofErr w:type="spellStart"/>
              <w:r w:rsidRPr="000D71EF">
                <w:t>Law</w:t>
              </w:r>
              <w:proofErr w:type="spellEnd"/>
              <w:r w:rsidRPr="000D71EF">
                <w:t xml:space="preserve"> </w:t>
              </w:r>
              <w:proofErr w:type="spellStart"/>
              <w:r w:rsidRPr="000D71EF">
                <w:t>Publishing</w:t>
              </w:r>
              <w:proofErr w:type="spellEnd"/>
              <w:r w:rsidRPr="000D71EF">
                <w:t>, 2012</w:t>
              </w:r>
            </w:hyperlink>
            <w:r w:rsidRPr="000D71EF">
              <w:t>.</w:t>
            </w:r>
          </w:p>
          <w:p w:rsidR="00431AF9" w:rsidRPr="000D71EF" w:rsidRDefault="00431AF9" w:rsidP="0022493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0D71EF">
              <w:t>Collier</w:t>
            </w:r>
            <w:proofErr w:type="spellEnd"/>
            <w:r w:rsidRPr="000D71EF">
              <w:t xml:space="preserve">, J.: </w:t>
            </w:r>
            <w:proofErr w:type="spellStart"/>
            <w:r w:rsidRPr="000D71EF">
              <w:rPr>
                <w:iCs/>
              </w:rPr>
              <w:t>Conflict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Laws</w:t>
            </w:r>
            <w:proofErr w:type="spellEnd"/>
            <w:r w:rsidRPr="000D71EF">
              <w:t xml:space="preserve">. </w:t>
            </w:r>
            <w:hyperlink r:id="rId24" w:history="1">
              <w:r w:rsidRPr="000D71EF">
                <w:t xml:space="preserve">Cambridge : Cambridge </w:t>
              </w:r>
              <w:proofErr w:type="spellStart"/>
              <w:r w:rsidRPr="000D71EF">
                <w:t>University</w:t>
              </w:r>
              <w:proofErr w:type="spellEnd"/>
              <w:r w:rsidRPr="000D71EF">
                <w:t xml:space="preserve"> Press, 2001</w:t>
              </w:r>
            </w:hyperlink>
            <w:r w:rsidRPr="000D71EF">
              <w:t>.</w:t>
            </w:r>
          </w:p>
          <w:p w:rsidR="00431AF9" w:rsidRPr="000D71EF" w:rsidRDefault="00431AF9" w:rsidP="0022493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0D71EF">
              <w:t>Dickinson</w:t>
            </w:r>
            <w:proofErr w:type="spellEnd"/>
            <w:r w:rsidRPr="000D71EF">
              <w:t xml:space="preserve">, A., Lein, E.: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Brussels</w:t>
            </w:r>
            <w:proofErr w:type="spellEnd"/>
            <w:r w:rsidRPr="000D71EF">
              <w:t xml:space="preserve"> I </w:t>
            </w:r>
            <w:proofErr w:type="spellStart"/>
            <w:r w:rsidRPr="000D71EF">
              <w:t>Regulation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Recast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>: OUP, 2015.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Fawcett</w:t>
            </w:r>
            <w:proofErr w:type="spellEnd"/>
            <w:r w:rsidRPr="000D71EF">
              <w:t xml:space="preserve">, J., </w:t>
            </w:r>
            <w:proofErr w:type="spellStart"/>
            <w:r w:rsidRPr="000D71EF">
              <w:t>Carruthers</w:t>
            </w:r>
            <w:proofErr w:type="spellEnd"/>
            <w:r w:rsidRPr="000D71EF">
              <w:t xml:space="preserve">, J.: </w:t>
            </w:r>
            <w:proofErr w:type="spellStart"/>
            <w:r w:rsidRPr="000D71EF">
              <w:rPr>
                <w:iCs/>
              </w:rPr>
              <w:t>Cheshire</w:t>
            </w:r>
            <w:proofErr w:type="spellEnd"/>
            <w:r w:rsidRPr="000D71EF">
              <w:rPr>
                <w:iCs/>
              </w:rPr>
              <w:t xml:space="preserve">, </w:t>
            </w:r>
            <w:proofErr w:type="spellStart"/>
            <w:r w:rsidRPr="000D71EF">
              <w:rPr>
                <w:iCs/>
              </w:rPr>
              <w:t>North</w:t>
            </w:r>
            <w:proofErr w:type="spellEnd"/>
            <w:r w:rsidRPr="000D71EF">
              <w:rPr>
                <w:iCs/>
              </w:rPr>
              <w:t xml:space="preserve"> &amp; </w:t>
            </w:r>
            <w:proofErr w:type="spellStart"/>
            <w:r w:rsidRPr="000D71EF">
              <w:rPr>
                <w:iCs/>
              </w:rPr>
              <w:t>Fawcett</w:t>
            </w:r>
            <w:proofErr w:type="spellEnd"/>
            <w:r w:rsidRPr="000D71EF">
              <w:rPr>
                <w:iCs/>
              </w:rPr>
              <w:t xml:space="preserve">: </w:t>
            </w:r>
            <w:proofErr w:type="spellStart"/>
            <w:r w:rsidRPr="000D71EF">
              <w:rPr>
                <w:iCs/>
              </w:rPr>
              <w:t>Private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2008.    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Fawcett</w:t>
            </w:r>
            <w:proofErr w:type="spellEnd"/>
            <w:r w:rsidRPr="000D71EF">
              <w:t xml:space="preserve">, J., </w:t>
            </w:r>
            <w:proofErr w:type="spellStart"/>
            <w:r w:rsidRPr="000D71EF">
              <w:t>Torremans</w:t>
            </w:r>
            <w:proofErr w:type="spellEnd"/>
            <w:r w:rsidRPr="000D71EF">
              <w:t xml:space="preserve">, P.: </w:t>
            </w:r>
            <w:proofErr w:type="spellStart"/>
            <w:r w:rsidRPr="000D71EF">
              <w:t>Intellectual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Property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Private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OUP, 2011.                                           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Hartley</w:t>
            </w:r>
            <w:proofErr w:type="spellEnd"/>
            <w:r w:rsidRPr="000D71EF">
              <w:t xml:space="preserve">, T.: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Commercial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Litigation</w:t>
            </w:r>
            <w:proofErr w:type="spellEnd"/>
            <w:r w:rsidRPr="000D71EF">
              <w:rPr>
                <w:iCs/>
              </w:rPr>
              <w:t xml:space="preserve">: </w:t>
            </w:r>
            <w:proofErr w:type="spellStart"/>
            <w:r w:rsidRPr="000D71EF">
              <w:rPr>
                <w:iCs/>
              </w:rPr>
              <w:t>Texts</w:t>
            </w:r>
            <w:proofErr w:type="spellEnd"/>
            <w:r w:rsidRPr="000D71EF">
              <w:rPr>
                <w:iCs/>
              </w:rPr>
              <w:t xml:space="preserve">, </w:t>
            </w:r>
            <w:proofErr w:type="spellStart"/>
            <w:r w:rsidRPr="000D71EF">
              <w:rPr>
                <w:iCs/>
              </w:rPr>
              <w:t>Cases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Materials</w:t>
            </w:r>
            <w:proofErr w:type="spellEnd"/>
            <w:r w:rsidRPr="000D71EF">
              <w:rPr>
                <w:iCs/>
              </w:rPr>
              <w:t xml:space="preserve"> on </w:t>
            </w:r>
            <w:proofErr w:type="spellStart"/>
            <w:r w:rsidRPr="000D71EF">
              <w:rPr>
                <w:iCs/>
              </w:rPr>
              <w:t>Private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 xml:space="preserve">. Cambridge: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2009.  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Hartley</w:t>
            </w:r>
            <w:proofErr w:type="spellEnd"/>
            <w:r w:rsidRPr="000D71EF">
              <w:t xml:space="preserve">, T.: </w:t>
            </w:r>
            <w:proofErr w:type="spellStart"/>
            <w:r w:rsidRPr="000D71EF">
              <w:t>Choice-of-court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Agreements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under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the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Instruments. </w:t>
            </w:r>
            <w:proofErr w:type="spellStart"/>
            <w:r w:rsidRPr="000D71EF">
              <w:t>Oxford</w:t>
            </w:r>
            <w:proofErr w:type="spellEnd"/>
            <w:r w:rsidRPr="000D71EF">
              <w:t>: OUP, 2013.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Hill</w:t>
            </w:r>
            <w:proofErr w:type="spellEnd"/>
            <w:r w:rsidRPr="000D71EF">
              <w:t xml:space="preserve">, J.: </w:t>
            </w:r>
            <w:proofErr w:type="spellStart"/>
            <w:r w:rsidRPr="000D71EF">
              <w:t>Cross-Border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Consumer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Contracts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OUP, 2008.         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Garnett</w:t>
            </w:r>
            <w:proofErr w:type="spellEnd"/>
            <w:r w:rsidRPr="000D71EF">
              <w:t xml:space="preserve">, R.: </w:t>
            </w:r>
            <w:proofErr w:type="spellStart"/>
            <w:r w:rsidRPr="000D71EF">
              <w:t>Substance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Procedure</w:t>
            </w:r>
            <w:proofErr w:type="spellEnd"/>
            <w:r w:rsidRPr="000D71EF">
              <w:t xml:space="preserve"> in </w:t>
            </w:r>
            <w:proofErr w:type="spellStart"/>
            <w:r w:rsidRPr="000D71EF">
              <w:t>Private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>: OUP, 2012.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Lookofsky</w:t>
            </w:r>
            <w:proofErr w:type="spellEnd"/>
            <w:r w:rsidRPr="000D71EF">
              <w:t xml:space="preserve">, J., Hertz, K.: </w:t>
            </w:r>
            <w:proofErr w:type="spellStart"/>
            <w:r w:rsidRPr="000D71EF">
              <w:rPr>
                <w:iCs/>
              </w:rPr>
              <w:t>European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Union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Private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in </w:t>
            </w:r>
            <w:proofErr w:type="spellStart"/>
            <w:r w:rsidRPr="000D71EF">
              <w:rPr>
                <w:iCs/>
              </w:rPr>
              <w:t>Contract</w:t>
            </w:r>
            <w:proofErr w:type="spellEnd"/>
            <w:r w:rsidRPr="000D71EF">
              <w:rPr>
                <w:iCs/>
              </w:rPr>
              <w:t xml:space="preserve"> and Tort</w:t>
            </w:r>
            <w:r w:rsidRPr="000D71EF">
              <w:t xml:space="preserve">. </w:t>
            </w:r>
            <w:proofErr w:type="spellStart"/>
            <w:r w:rsidRPr="000D71EF">
              <w:t>Juris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Net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Llc</w:t>
            </w:r>
            <w:proofErr w:type="spellEnd"/>
            <w:r w:rsidRPr="000D71EF">
              <w:t xml:space="preserve">, 2009.        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Merrett</w:t>
            </w:r>
            <w:proofErr w:type="spellEnd"/>
            <w:r w:rsidRPr="000D71EF">
              <w:t xml:space="preserve">, L.: </w:t>
            </w:r>
            <w:proofErr w:type="spellStart"/>
            <w:r w:rsidRPr="000D71EF">
              <w:t>Employment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Contracts</w:t>
            </w:r>
            <w:proofErr w:type="spellEnd"/>
            <w:r w:rsidRPr="000D71EF">
              <w:t xml:space="preserve"> in </w:t>
            </w:r>
            <w:proofErr w:type="spellStart"/>
            <w:r w:rsidRPr="000D71EF">
              <w:t>Private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OUP, 2011.         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Rammeloo</w:t>
            </w:r>
            <w:proofErr w:type="spellEnd"/>
            <w:r w:rsidRPr="000D71EF">
              <w:t xml:space="preserve">, S.: </w:t>
            </w:r>
            <w:proofErr w:type="spellStart"/>
            <w:r w:rsidRPr="000D71EF">
              <w:t>Corporations</w:t>
            </w:r>
            <w:proofErr w:type="spellEnd"/>
            <w:r w:rsidRPr="000D71EF">
              <w:t xml:space="preserve"> in </w:t>
            </w:r>
            <w:proofErr w:type="spellStart"/>
            <w:r w:rsidRPr="000D71EF">
              <w:t>Private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OUP, 2001.     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Shuilleabhain</w:t>
            </w:r>
            <w:proofErr w:type="spellEnd"/>
            <w:r w:rsidRPr="000D71EF">
              <w:t xml:space="preserve">, M. N.: </w:t>
            </w:r>
            <w:proofErr w:type="spellStart"/>
            <w:r w:rsidRPr="000D71EF">
              <w:t>Cross-Border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Divorce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OUP, 2010.                                                                                                                                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Svantesson</w:t>
            </w:r>
            <w:proofErr w:type="spellEnd"/>
            <w:r w:rsidRPr="000D71EF">
              <w:t xml:space="preserve">, D.J.B.: </w:t>
            </w:r>
            <w:proofErr w:type="spellStart"/>
            <w:r w:rsidRPr="000D71EF">
              <w:rPr>
                <w:iCs/>
              </w:rPr>
              <w:t>Private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Internet</w:t>
            </w:r>
            <w:r w:rsidRPr="000D71EF">
              <w:t xml:space="preserve">. </w:t>
            </w:r>
            <w:proofErr w:type="spellStart"/>
            <w:r w:rsidRPr="000D71EF">
              <w:t>Zuidpoolsingel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Kluwer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, 2012.                                                                                                                                                                      </w:t>
            </w:r>
          </w:p>
          <w:p w:rsidR="00431AF9" w:rsidRPr="000D71EF" w:rsidRDefault="00431AF9" w:rsidP="0022493F">
            <w:pPr>
              <w:spacing w:after="0" w:line="240" w:lineRule="auto"/>
            </w:pP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Barnard</w:t>
            </w:r>
            <w:proofErr w:type="spellEnd"/>
            <w:r w:rsidRPr="000D71EF">
              <w:t xml:space="preserve">, C.: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Substantive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EU</w:t>
            </w:r>
            <w:r w:rsidRPr="000D71EF">
              <w:t>. Cambridge: CUP, 2013.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Chalmers</w:t>
            </w:r>
            <w:proofErr w:type="spellEnd"/>
            <w:r w:rsidRPr="000D71EF">
              <w:t xml:space="preserve">, D., </w:t>
            </w:r>
            <w:proofErr w:type="spellStart"/>
            <w:r w:rsidRPr="000D71EF">
              <w:t>Davies</w:t>
            </w:r>
            <w:proofErr w:type="spellEnd"/>
            <w:r w:rsidRPr="000D71EF">
              <w:t xml:space="preserve">, G., </w:t>
            </w:r>
            <w:proofErr w:type="spellStart"/>
            <w:r w:rsidRPr="000D71EF">
              <w:t>Monti</w:t>
            </w:r>
            <w:proofErr w:type="spellEnd"/>
            <w:r w:rsidRPr="000D71EF">
              <w:t xml:space="preserve">, G.: </w:t>
            </w:r>
            <w:proofErr w:type="spellStart"/>
            <w:r w:rsidRPr="000D71EF">
              <w:rPr>
                <w:iCs/>
              </w:rPr>
              <w:t>European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Union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>. Cambridge: CUP, 2014.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Craig</w:t>
            </w:r>
            <w:proofErr w:type="spellEnd"/>
            <w:r w:rsidRPr="000D71EF">
              <w:t xml:space="preserve">, P., </w:t>
            </w:r>
            <w:proofErr w:type="spellStart"/>
            <w:r w:rsidRPr="000D71EF">
              <w:t>De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Búrca</w:t>
            </w:r>
            <w:proofErr w:type="spellEnd"/>
            <w:r w:rsidRPr="000D71EF">
              <w:t xml:space="preserve">, G.: </w:t>
            </w:r>
            <w:r w:rsidRPr="000D71EF">
              <w:rPr>
                <w:iCs/>
              </w:rPr>
              <w:t xml:space="preserve">EU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. Text, </w:t>
            </w:r>
            <w:proofErr w:type="spellStart"/>
            <w:r w:rsidRPr="000D71EF">
              <w:rPr>
                <w:iCs/>
              </w:rPr>
              <w:t>cases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materials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>: OUP, 2015.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Kaczorowska</w:t>
            </w:r>
            <w:proofErr w:type="spellEnd"/>
            <w:r w:rsidRPr="000D71EF">
              <w:t xml:space="preserve">, A.: </w:t>
            </w:r>
            <w:proofErr w:type="spellStart"/>
            <w:r w:rsidRPr="000D71EF">
              <w:rPr>
                <w:iCs/>
              </w:rPr>
              <w:t>European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Union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 xml:space="preserve">. New York: </w:t>
            </w:r>
            <w:proofErr w:type="spellStart"/>
            <w:r w:rsidRPr="000D71EF">
              <w:t>Routledge-Cavendish</w:t>
            </w:r>
            <w:proofErr w:type="spellEnd"/>
            <w:r w:rsidRPr="000D71EF">
              <w:t>, 2013.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Weatherill</w:t>
            </w:r>
            <w:proofErr w:type="spellEnd"/>
            <w:r w:rsidRPr="000D71EF">
              <w:t xml:space="preserve">, S.: </w:t>
            </w:r>
            <w:proofErr w:type="spellStart"/>
            <w:r w:rsidRPr="000D71EF">
              <w:rPr>
                <w:iCs/>
              </w:rPr>
              <w:t>Cases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Materials</w:t>
            </w:r>
            <w:proofErr w:type="spellEnd"/>
            <w:r w:rsidRPr="000D71EF">
              <w:rPr>
                <w:iCs/>
              </w:rPr>
              <w:t xml:space="preserve"> on EU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>: OUP, 2014.</w:t>
            </w:r>
          </w:p>
          <w:p w:rsidR="00431AF9" w:rsidRPr="000D71EF" w:rsidRDefault="00431AF9" w:rsidP="0022493F">
            <w:pPr>
              <w:spacing w:after="0" w:line="240" w:lineRule="auto"/>
              <w:jc w:val="both"/>
              <w:rPr>
                <w:kern w:val="1"/>
              </w:rPr>
            </w:pPr>
          </w:p>
          <w:p w:rsidR="00431AF9" w:rsidRPr="000D71EF" w:rsidRDefault="00431AF9" w:rsidP="0022493F">
            <w:pPr>
              <w:spacing w:after="0" w:line="240" w:lineRule="auto"/>
              <w:jc w:val="both"/>
              <w:rPr>
                <w:kern w:val="1"/>
              </w:rPr>
            </w:pPr>
            <w:proofErr w:type="spellStart"/>
            <w:r w:rsidRPr="000D71EF">
              <w:rPr>
                <w:kern w:val="1"/>
              </w:rPr>
              <w:t>Ashiagbor</w:t>
            </w:r>
            <w:proofErr w:type="spellEnd"/>
            <w:r w:rsidRPr="000D71EF">
              <w:rPr>
                <w:kern w:val="1"/>
              </w:rPr>
              <w:t xml:space="preserve">, D.: </w:t>
            </w:r>
            <w:proofErr w:type="spellStart"/>
            <w:r w:rsidRPr="000D71EF">
              <w:rPr>
                <w:kern w:val="1"/>
              </w:rPr>
              <w:t>The</w:t>
            </w:r>
            <w:proofErr w:type="spellEnd"/>
            <w:r w:rsidRPr="000D71EF">
              <w:rPr>
                <w:kern w:val="1"/>
              </w:rPr>
              <w:t xml:space="preserve"> </w:t>
            </w:r>
            <w:proofErr w:type="spellStart"/>
            <w:r w:rsidRPr="000D71EF">
              <w:rPr>
                <w:kern w:val="1"/>
              </w:rPr>
              <w:t>European</w:t>
            </w:r>
            <w:proofErr w:type="spellEnd"/>
            <w:r w:rsidRPr="000D71EF">
              <w:rPr>
                <w:kern w:val="1"/>
              </w:rPr>
              <w:t xml:space="preserve"> </w:t>
            </w:r>
            <w:proofErr w:type="spellStart"/>
            <w:r w:rsidRPr="000D71EF">
              <w:rPr>
                <w:kern w:val="1"/>
              </w:rPr>
              <w:t>Employment</w:t>
            </w:r>
            <w:proofErr w:type="spellEnd"/>
            <w:r w:rsidRPr="000D71EF">
              <w:rPr>
                <w:kern w:val="1"/>
              </w:rPr>
              <w:t xml:space="preserve"> </w:t>
            </w:r>
            <w:proofErr w:type="spellStart"/>
            <w:r w:rsidRPr="000D71EF">
              <w:rPr>
                <w:kern w:val="1"/>
              </w:rPr>
              <w:t>Strategy</w:t>
            </w:r>
            <w:proofErr w:type="spellEnd"/>
            <w:r w:rsidRPr="000D71EF">
              <w:rPr>
                <w:kern w:val="1"/>
              </w:rPr>
              <w:t xml:space="preserve">. </w:t>
            </w:r>
            <w:proofErr w:type="spellStart"/>
            <w:r w:rsidRPr="000D71EF">
              <w:rPr>
                <w:kern w:val="1"/>
              </w:rPr>
              <w:t>Oxford</w:t>
            </w:r>
            <w:proofErr w:type="spellEnd"/>
            <w:r w:rsidRPr="000D71EF">
              <w:rPr>
                <w:kern w:val="1"/>
              </w:rPr>
              <w:t>: OUP, 2005.</w:t>
            </w:r>
          </w:p>
          <w:p w:rsidR="00431AF9" w:rsidRPr="000D71EF" w:rsidRDefault="00431AF9" w:rsidP="0022493F">
            <w:pPr>
              <w:spacing w:after="0" w:line="240" w:lineRule="auto"/>
              <w:jc w:val="both"/>
              <w:rPr>
                <w:kern w:val="1"/>
              </w:rPr>
            </w:pPr>
            <w:proofErr w:type="spellStart"/>
            <w:r w:rsidRPr="000D71EF">
              <w:rPr>
                <w:kern w:val="1"/>
              </w:rPr>
              <w:t>Barnard</w:t>
            </w:r>
            <w:proofErr w:type="spellEnd"/>
            <w:r w:rsidRPr="000D71EF">
              <w:rPr>
                <w:kern w:val="1"/>
              </w:rPr>
              <w:t xml:space="preserve">, C.: EU </w:t>
            </w:r>
            <w:proofErr w:type="spellStart"/>
            <w:r w:rsidRPr="000D71EF">
              <w:rPr>
                <w:kern w:val="1"/>
              </w:rPr>
              <w:t>Employment</w:t>
            </w:r>
            <w:proofErr w:type="spellEnd"/>
            <w:r w:rsidRPr="000D71EF">
              <w:rPr>
                <w:kern w:val="1"/>
              </w:rPr>
              <w:t xml:space="preserve"> </w:t>
            </w:r>
            <w:proofErr w:type="spellStart"/>
            <w:r w:rsidRPr="000D71EF">
              <w:rPr>
                <w:kern w:val="1"/>
              </w:rPr>
              <w:t>Law</w:t>
            </w:r>
            <w:proofErr w:type="spellEnd"/>
            <w:r w:rsidRPr="000D71EF">
              <w:rPr>
                <w:kern w:val="1"/>
              </w:rPr>
              <w:t xml:space="preserve">. </w:t>
            </w:r>
            <w:proofErr w:type="spellStart"/>
            <w:r w:rsidRPr="000D71EF">
              <w:rPr>
                <w:kern w:val="1"/>
              </w:rPr>
              <w:t>Oxford</w:t>
            </w:r>
            <w:proofErr w:type="spellEnd"/>
            <w:r w:rsidRPr="000D71EF">
              <w:rPr>
                <w:kern w:val="1"/>
              </w:rPr>
              <w:t>: OUP, 2012.</w:t>
            </w:r>
          </w:p>
          <w:p w:rsidR="00431AF9" w:rsidRPr="000D71EF" w:rsidRDefault="00431AF9" w:rsidP="0022493F">
            <w:pPr>
              <w:spacing w:after="0" w:line="240" w:lineRule="auto"/>
              <w:jc w:val="both"/>
              <w:rPr>
                <w:kern w:val="1"/>
              </w:rPr>
            </w:pPr>
            <w:proofErr w:type="spellStart"/>
            <w:r w:rsidRPr="000D71EF">
              <w:rPr>
                <w:kern w:val="1"/>
              </w:rPr>
              <w:t>Costello</w:t>
            </w:r>
            <w:proofErr w:type="spellEnd"/>
            <w:r w:rsidRPr="000D71EF">
              <w:rPr>
                <w:kern w:val="1"/>
              </w:rPr>
              <w:t xml:space="preserve">, C., </w:t>
            </w:r>
            <w:proofErr w:type="spellStart"/>
            <w:r w:rsidRPr="000D71EF">
              <w:rPr>
                <w:kern w:val="1"/>
              </w:rPr>
              <w:t>Freedland</w:t>
            </w:r>
            <w:proofErr w:type="spellEnd"/>
            <w:r w:rsidRPr="000D71EF">
              <w:rPr>
                <w:kern w:val="1"/>
              </w:rPr>
              <w:t xml:space="preserve">, M.: </w:t>
            </w:r>
            <w:proofErr w:type="spellStart"/>
            <w:r w:rsidRPr="000D71EF">
              <w:rPr>
                <w:kern w:val="1"/>
              </w:rPr>
              <w:t>Migrants</w:t>
            </w:r>
            <w:proofErr w:type="spellEnd"/>
            <w:r w:rsidRPr="000D71EF">
              <w:rPr>
                <w:kern w:val="1"/>
              </w:rPr>
              <w:t xml:space="preserve"> </w:t>
            </w:r>
            <w:proofErr w:type="spellStart"/>
            <w:r w:rsidRPr="000D71EF">
              <w:rPr>
                <w:kern w:val="1"/>
              </w:rPr>
              <w:t>at</w:t>
            </w:r>
            <w:proofErr w:type="spellEnd"/>
            <w:r w:rsidRPr="000D71EF">
              <w:rPr>
                <w:kern w:val="1"/>
              </w:rPr>
              <w:t xml:space="preserve"> </w:t>
            </w:r>
            <w:proofErr w:type="spellStart"/>
            <w:r w:rsidRPr="000D71EF">
              <w:rPr>
                <w:kern w:val="1"/>
              </w:rPr>
              <w:t>Work</w:t>
            </w:r>
            <w:proofErr w:type="spellEnd"/>
            <w:r w:rsidRPr="000D71EF">
              <w:rPr>
                <w:kern w:val="1"/>
              </w:rPr>
              <w:t xml:space="preserve">: </w:t>
            </w:r>
            <w:proofErr w:type="spellStart"/>
            <w:r w:rsidRPr="000D71EF">
              <w:rPr>
                <w:kern w:val="1"/>
              </w:rPr>
              <w:t>Immigration</w:t>
            </w:r>
            <w:proofErr w:type="spellEnd"/>
            <w:r w:rsidRPr="000D71EF">
              <w:rPr>
                <w:kern w:val="1"/>
              </w:rPr>
              <w:t xml:space="preserve"> and </w:t>
            </w:r>
            <w:proofErr w:type="spellStart"/>
            <w:r w:rsidRPr="000D71EF">
              <w:rPr>
                <w:kern w:val="1"/>
              </w:rPr>
              <w:t>Vulnerability</w:t>
            </w:r>
            <w:proofErr w:type="spellEnd"/>
            <w:r w:rsidRPr="000D71EF">
              <w:rPr>
                <w:kern w:val="1"/>
              </w:rPr>
              <w:t xml:space="preserve"> in </w:t>
            </w:r>
            <w:proofErr w:type="spellStart"/>
            <w:r w:rsidRPr="000D71EF">
              <w:rPr>
                <w:kern w:val="1"/>
              </w:rPr>
              <w:t>Labour</w:t>
            </w:r>
            <w:proofErr w:type="spellEnd"/>
            <w:r w:rsidRPr="000D71EF">
              <w:rPr>
                <w:kern w:val="1"/>
              </w:rPr>
              <w:t xml:space="preserve"> </w:t>
            </w:r>
            <w:proofErr w:type="spellStart"/>
            <w:r w:rsidRPr="000D71EF">
              <w:rPr>
                <w:kern w:val="1"/>
              </w:rPr>
              <w:t>Law</w:t>
            </w:r>
            <w:proofErr w:type="spellEnd"/>
            <w:r w:rsidRPr="000D71EF">
              <w:rPr>
                <w:kern w:val="1"/>
              </w:rPr>
              <w:t xml:space="preserve">. </w:t>
            </w:r>
            <w:proofErr w:type="spellStart"/>
            <w:r w:rsidRPr="000D71EF">
              <w:rPr>
                <w:kern w:val="1"/>
              </w:rPr>
              <w:t>Oxford</w:t>
            </w:r>
            <w:proofErr w:type="spellEnd"/>
            <w:r w:rsidRPr="000D71EF">
              <w:rPr>
                <w:kern w:val="1"/>
              </w:rPr>
              <w:t>: OUP, 2014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Ellis</w:t>
            </w:r>
            <w:proofErr w:type="spellEnd"/>
            <w:r w:rsidRPr="000D71EF">
              <w:t xml:space="preserve">, E., </w:t>
            </w:r>
            <w:proofErr w:type="spellStart"/>
            <w:r w:rsidRPr="000D71EF">
              <w:t>Watson</w:t>
            </w:r>
            <w:proofErr w:type="spellEnd"/>
            <w:r w:rsidRPr="000D71EF">
              <w:t xml:space="preserve">, P.: EU </w:t>
            </w:r>
            <w:proofErr w:type="spellStart"/>
            <w:r w:rsidRPr="000D71EF">
              <w:t>Anti-Discrimination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>: OUP, 2015.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Freedland</w:t>
            </w:r>
            <w:proofErr w:type="spellEnd"/>
            <w:r w:rsidRPr="000D71EF">
              <w:t xml:space="preserve">, M., </w:t>
            </w:r>
            <w:proofErr w:type="spellStart"/>
            <w:r w:rsidRPr="000D71EF">
              <w:t>Craig</w:t>
            </w:r>
            <w:proofErr w:type="spellEnd"/>
            <w:r w:rsidRPr="000D71EF">
              <w:t xml:space="preserve">, P. </w:t>
            </w:r>
            <w:proofErr w:type="spellStart"/>
            <w:r w:rsidRPr="000D71EF">
              <w:t>et</w:t>
            </w:r>
            <w:proofErr w:type="spellEnd"/>
            <w:r w:rsidRPr="000D71EF">
              <w:t xml:space="preserve"> al.: </w:t>
            </w:r>
            <w:proofErr w:type="spellStart"/>
            <w:r w:rsidRPr="000D71EF">
              <w:t>Public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Employment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Services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>: OUP, 2007.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Frolich</w:t>
            </w:r>
            <w:proofErr w:type="spellEnd"/>
            <w:r w:rsidRPr="000D71EF">
              <w:t xml:space="preserve">, M., </w:t>
            </w:r>
            <w:proofErr w:type="spellStart"/>
            <w:r w:rsidRPr="000D71EF">
              <w:t>Kaplan</w:t>
            </w:r>
            <w:proofErr w:type="spellEnd"/>
            <w:r w:rsidRPr="000D71EF">
              <w:t xml:space="preserve">, D. </w:t>
            </w:r>
            <w:proofErr w:type="spellStart"/>
            <w:r w:rsidRPr="000D71EF">
              <w:t>at</w:t>
            </w:r>
            <w:proofErr w:type="spellEnd"/>
            <w:r w:rsidRPr="000D71EF">
              <w:t xml:space="preserve"> al.: </w:t>
            </w:r>
            <w:proofErr w:type="spellStart"/>
            <w:r w:rsidRPr="000D71EF">
              <w:t>Social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Insurance</w:t>
            </w:r>
            <w:proofErr w:type="spellEnd"/>
            <w:r w:rsidRPr="000D71EF">
              <w:t xml:space="preserve">, </w:t>
            </w:r>
            <w:proofErr w:type="spellStart"/>
            <w:r w:rsidRPr="000D71EF">
              <w:t>Informality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Labor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Markets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>: OUP, 2014.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Kuril</w:t>
            </w:r>
            <w:proofErr w:type="spellEnd"/>
            <w:r w:rsidRPr="000D71EF">
              <w:t xml:space="preserve">, M.: </w:t>
            </w:r>
            <w:proofErr w:type="spellStart"/>
            <w:r w:rsidRPr="000D71EF">
              <w:t>International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Labour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(</w:t>
            </w:r>
            <w:proofErr w:type="spellStart"/>
            <w:r w:rsidRPr="000D71EF">
              <w:t>selected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chapters</w:t>
            </w:r>
            <w:proofErr w:type="spellEnd"/>
            <w:r w:rsidRPr="000D71EF">
              <w:t>). Bratislava, VO PF UK, 2009.</w:t>
            </w:r>
          </w:p>
          <w:p w:rsidR="00431AF9" w:rsidRPr="000D71EF" w:rsidRDefault="00431AF9" w:rsidP="0022493F">
            <w:pPr>
              <w:spacing w:after="0" w:line="240" w:lineRule="auto"/>
              <w:jc w:val="both"/>
            </w:pPr>
            <w:proofErr w:type="spellStart"/>
            <w:r w:rsidRPr="000D71EF">
              <w:t>Pennings</w:t>
            </w:r>
            <w:proofErr w:type="spellEnd"/>
            <w:r w:rsidRPr="000D71EF">
              <w:t xml:space="preserve">, F.: </w:t>
            </w:r>
            <w:proofErr w:type="spellStart"/>
            <w:r w:rsidRPr="000D71EF">
              <w:t>European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Social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Security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Alphen</w:t>
            </w:r>
            <w:proofErr w:type="spellEnd"/>
            <w:r w:rsidRPr="000D71EF">
              <w:t xml:space="preserve"> : </w:t>
            </w:r>
            <w:proofErr w:type="spellStart"/>
            <w:r w:rsidRPr="000D71EF">
              <w:t>Kluwer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Law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International</w:t>
            </w:r>
            <w:proofErr w:type="spellEnd"/>
            <w:r w:rsidRPr="000D71EF">
              <w:t>, 2013.</w:t>
            </w:r>
          </w:p>
          <w:p w:rsidR="00431AF9" w:rsidRPr="000D71EF" w:rsidRDefault="00431AF9" w:rsidP="0022493F">
            <w:pPr>
              <w:spacing w:after="0" w:line="240" w:lineRule="auto"/>
              <w:jc w:val="both"/>
            </w:pPr>
            <w:proofErr w:type="spellStart"/>
            <w:r w:rsidRPr="000D71EF">
              <w:t>Watson</w:t>
            </w:r>
            <w:proofErr w:type="spellEnd"/>
            <w:r w:rsidRPr="000D71EF">
              <w:t xml:space="preserve">, P.: EU </w:t>
            </w:r>
            <w:proofErr w:type="spellStart"/>
            <w:r w:rsidRPr="000D71EF">
              <w:t>Social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Emp</w:t>
            </w:r>
            <w:r w:rsidR="0022493F" w:rsidRPr="000D71EF">
              <w:t>loyment</w:t>
            </w:r>
            <w:proofErr w:type="spellEnd"/>
            <w:r w:rsidR="0022493F" w:rsidRPr="000D71EF">
              <w:t xml:space="preserve"> </w:t>
            </w:r>
            <w:proofErr w:type="spellStart"/>
            <w:r w:rsidR="0022493F" w:rsidRPr="000D71EF">
              <w:t>Law</w:t>
            </w:r>
            <w:proofErr w:type="spellEnd"/>
            <w:r w:rsidR="0022493F" w:rsidRPr="000D71EF">
              <w:t xml:space="preserve">. </w:t>
            </w:r>
            <w:proofErr w:type="spellStart"/>
            <w:r w:rsidR="0022493F" w:rsidRPr="000D71EF">
              <w:t>Oxford</w:t>
            </w:r>
            <w:proofErr w:type="spellEnd"/>
            <w:r w:rsidR="0022493F" w:rsidRPr="000D71EF">
              <w:t>: OUP, 2014.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>Jazyk, ktorého znalosť je potrebná na absolvovanie predmetu:</w:t>
            </w:r>
            <w:r w:rsidRPr="000D71EF">
              <w:t xml:space="preserve"> </w:t>
            </w:r>
            <w:r w:rsidRPr="000D71EF">
              <w:rPr>
                <w:iCs/>
              </w:rPr>
              <w:t>anglický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 xml:space="preserve">Poznámky: 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>Hodnotenie predmetov</w:t>
            </w:r>
          </w:p>
          <w:p w:rsidR="00431AF9" w:rsidRPr="000D71EF" w:rsidRDefault="00431AF9" w:rsidP="00C7192C">
            <w:pPr>
              <w:spacing w:after="0"/>
            </w:pPr>
            <w:r w:rsidRPr="000D71EF">
              <w:lastRenderedPageBreak/>
              <w:t xml:space="preserve">Celkový počet hodnotených študentov: 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496"/>
              <w:gridCol w:w="1496"/>
              <w:gridCol w:w="1496"/>
              <w:gridCol w:w="1496"/>
              <w:gridCol w:w="1496"/>
              <w:gridCol w:w="1506"/>
            </w:tblGrid>
            <w:tr w:rsidR="00431AF9" w:rsidRPr="000D71EF" w:rsidTr="00617909">
              <w:tc>
                <w:tcPr>
                  <w:tcW w:w="1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FX</w:t>
                  </w:r>
                </w:p>
              </w:tc>
            </w:tr>
            <w:tr w:rsidR="00431AF9" w:rsidRPr="000D71EF" w:rsidTr="00617909">
              <w:trPr>
                <w:trHeight w:val="300"/>
              </w:trPr>
              <w:tc>
                <w:tcPr>
                  <w:tcW w:w="1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  <w:tc>
                <w:tcPr>
                  <w:tcW w:w="1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</w:tr>
          </w:tbl>
          <w:p w:rsidR="00431AF9" w:rsidRPr="000D71EF" w:rsidRDefault="00431AF9" w:rsidP="00C7192C">
            <w:pPr>
              <w:spacing w:after="0"/>
            </w:pP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22493F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lastRenderedPageBreak/>
              <w:t xml:space="preserve">Vyučujúci: </w:t>
            </w:r>
            <w:r w:rsidR="00431AF9" w:rsidRPr="000D71EF">
              <w:rPr>
                <w:iCs/>
              </w:rPr>
              <w:t xml:space="preserve">JUDr. Miroslava </w:t>
            </w:r>
            <w:proofErr w:type="spellStart"/>
            <w:r w:rsidR="00431AF9" w:rsidRPr="000D71EF">
              <w:rPr>
                <w:iCs/>
              </w:rPr>
              <w:t>Vozáryová</w:t>
            </w:r>
            <w:proofErr w:type="spellEnd"/>
            <w:r w:rsidR="00431AF9" w:rsidRPr="000D71EF">
              <w:rPr>
                <w:iCs/>
              </w:rPr>
              <w:t xml:space="preserve">, PhD., JUDr. Katarína </w:t>
            </w:r>
            <w:proofErr w:type="spellStart"/>
            <w:r w:rsidR="00431AF9" w:rsidRPr="000D71EF">
              <w:rPr>
                <w:iCs/>
              </w:rPr>
              <w:t>Burdová</w:t>
            </w:r>
            <w:proofErr w:type="spellEnd"/>
            <w:r w:rsidR="00431AF9" w:rsidRPr="000D71EF">
              <w:rPr>
                <w:iCs/>
              </w:rPr>
              <w:t xml:space="preserve">, PhD., Ing. Mgr. Ondrej </w:t>
            </w:r>
            <w:proofErr w:type="spellStart"/>
            <w:r w:rsidR="00431AF9" w:rsidRPr="000D71EF">
              <w:rPr>
                <w:iCs/>
              </w:rPr>
              <w:t>Blažo</w:t>
            </w:r>
            <w:proofErr w:type="spellEnd"/>
            <w:r w:rsidR="00431AF9" w:rsidRPr="000D71EF">
              <w:rPr>
                <w:iCs/>
              </w:rPr>
              <w:t xml:space="preserve">, PhD., JUDr. Daniela Ježová, PhD. LLM., Mgr. Kristína Považanová, </w:t>
            </w:r>
            <w:r w:rsidR="005D0D82" w:rsidRPr="000D71EF">
              <w:t xml:space="preserve">JUDr. Hana </w:t>
            </w:r>
            <w:proofErr w:type="spellStart"/>
            <w:r w:rsidR="005D0D82" w:rsidRPr="000D71EF">
              <w:t>Kováčiková</w:t>
            </w:r>
            <w:proofErr w:type="spellEnd"/>
            <w:r w:rsidR="005D0D82" w:rsidRPr="000D71EF">
              <w:t>, PhD.</w:t>
            </w:r>
            <w:r w:rsidR="005D0D82" w:rsidRPr="000D71EF">
              <w:t xml:space="preserve">, </w:t>
            </w:r>
            <w:r w:rsidR="00431AF9" w:rsidRPr="000D71EF">
              <w:rPr>
                <w:iCs/>
              </w:rPr>
              <w:t xml:space="preserve">JUDr. Andrej </w:t>
            </w:r>
            <w:proofErr w:type="spellStart"/>
            <w:r w:rsidR="00431AF9" w:rsidRPr="000D71EF">
              <w:rPr>
                <w:iCs/>
              </w:rPr>
              <w:t>Poruban</w:t>
            </w:r>
            <w:proofErr w:type="spellEnd"/>
            <w:r w:rsidR="00431AF9" w:rsidRPr="000D71EF">
              <w:rPr>
                <w:iCs/>
              </w:rPr>
              <w:t xml:space="preserve">, PhD. a ďalší členovia </w:t>
            </w:r>
            <w:proofErr w:type="spellStart"/>
            <w:r w:rsidR="00431AF9" w:rsidRPr="000D71EF">
              <w:rPr>
                <w:iCs/>
              </w:rPr>
              <w:t>KMPaMV</w:t>
            </w:r>
            <w:proofErr w:type="spellEnd"/>
            <w:r w:rsidR="00431AF9" w:rsidRPr="000D71EF">
              <w:rPr>
                <w:iCs/>
              </w:rPr>
              <w:t xml:space="preserve">, ÚEP a </w:t>
            </w:r>
            <w:proofErr w:type="spellStart"/>
            <w:r w:rsidR="00431AF9" w:rsidRPr="000D71EF">
              <w:rPr>
                <w:iCs/>
              </w:rPr>
              <w:t>KPPaPSZ</w:t>
            </w:r>
            <w:proofErr w:type="spellEnd"/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 xml:space="preserve">Dátum poslednej zmeny: 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>Schválil:</w:t>
            </w:r>
            <w:r w:rsidRPr="000D71EF">
              <w:t xml:space="preserve"> </w:t>
            </w:r>
          </w:p>
        </w:tc>
      </w:tr>
    </w:tbl>
    <w:p w:rsidR="00431AF9" w:rsidRPr="000D71EF" w:rsidRDefault="00431AF9" w:rsidP="00431AF9"/>
    <w:p w:rsidR="00A209A1" w:rsidRPr="000D71EF" w:rsidRDefault="00A209A1" w:rsidP="00431AF9">
      <w:pPr>
        <w:ind w:left="720"/>
        <w:jc w:val="right"/>
      </w:pPr>
    </w:p>
    <w:p w:rsidR="002A0C79" w:rsidRPr="000D71EF" w:rsidRDefault="002A0C79" w:rsidP="00431AF9">
      <w:pPr>
        <w:ind w:left="720"/>
        <w:jc w:val="right"/>
      </w:pPr>
    </w:p>
    <w:p w:rsidR="002A0C79" w:rsidRPr="000D71EF" w:rsidRDefault="002A0C79" w:rsidP="00431AF9">
      <w:pPr>
        <w:ind w:left="720"/>
        <w:jc w:val="right"/>
      </w:pPr>
    </w:p>
    <w:p w:rsidR="002A0C79" w:rsidRPr="000D71EF" w:rsidRDefault="002A0C79" w:rsidP="00431AF9">
      <w:pPr>
        <w:ind w:left="720"/>
        <w:jc w:val="right"/>
      </w:pPr>
    </w:p>
    <w:p w:rsidR="002A0C79" w:rsidRPr="000D71EF" w:rsidRDefault="002A0C79" w:rsidP="00431AF9">
      <w:pPr>
        <w:ind w:left="720"/>
        <w:jc w:val="right"/>
      </w:pPr>
    </w:p>
    <w:p w:rsidR="002A0C79" w:rsidRPr="000D71EF" w:rsidRDefault="002A0C79" w:rsidP="00431AF9">
      <w:pPr>
        <w:ind w:left="720"/>
        <w:jc w:val="right"/>
      </w:pPr>
    </w:p>
    <w:p w:rsidR="002A0C79" w:rsidRPr="000D71EF" w:rsidRDefault="002A0C79" w:rsidP="00431AF9">
      <w:pPr>
        <w:ind w:left="720"/>
        <w:jc w:val="right"/>
      </w:pPr>
    </w:p>
    <w:p w:rsidR="002A0C79" w:rsidRPr="000D71EF" w:rsidRDefault="002A0C79" w:rsidP="00431AF9">
      <w:pPr>
        <w:ind w:left="720"/>
        <w:jc w:val="right"/>
      </w:pPr>
    </w:p>
    <w:p w:rsidR="002A0C79" w:rsidRPr="000D71EF" w:rsidRDefault="002A0C79" w:rsidP="00431AF9">
      <w:pPr>
        <w:ind w:left="720"/>
        <w:jc w:val="right"/>
      </w:pPr>
    </w:p>
    <w:p w:rsidR="002A0C79" w:rsidRPr="000D71EF" w:rsidRDefault="002A0C79" w:rsidP="00431AF9">
      <w:pPr>
        <w:ind w:left="720"/>
        <w:jc w:val="right"/>
      </w:pPr>
    </w:p>
    <w:p w:rsidR="002A0C79" w:rsidRPr="000D71EF" w:rsidRDefault="002A0C79" w:rsidP="00431AF9">
      <w:pPr>
        <w:ind w:left="720"/>
        <w:jc w:val="right"/>
      </w:pPr>
    </w:p>
    <w:p w:rsidR="00A209A1" w:rsidRPr="000D71EF" w:rsidRDefault="00A209A1" w:rsidP="00431AF9">
      <w:pPr>
        <w:ind w:left="720"/>
        <w:jc w:val="right"/>
      </w:pPr>
    </w:p>
    <w:p w:rsidR="0022493F" w:rsidRPr="000D71EF" w:rsidRDefault="0022493F" w:rsidP="00C7192C">
      <w:pPr>
        <w:spacing w:after="0"/>
        <w:ind w:left="720"/>
        <w:jc w:val="right"/>
      </w:pPr>
    </w:p>
    <w:p w:rsidR="0022493F" w:rsidRPr="000D71EF" w:rsidRDefault="0022493F" w:rsidP="00C7192C">
      <w:pPr>
        <w:spacing w:after="0"/>
        <w:ind w:left="720"/>
        <w:jc w:val="right"/>
      </w:pPr>
    </w:p>
    <w:p w:rsidR="0022493F" w:rsidRPr="000D71EF" w:rsidRDefault="0022493F" w:rsidP="00C7192C">
      <w:pPr>
        <w:spacing w:after="0"/>
        <w:ind w:left="720"/>
        <w:jc w:val="right"/>
      </w:pPr>
    </w:p>
    <w:p w:rsidR="0022493F" w:rsidRPr="000D71EF" w:rsidRDefault="0022493F" w:rsidP="00C7192C">
      <w:pPr>
        <w:spacing w:after="0"/>
        <w:ind w:left="720"/>
        <w:jc w:val="right"/>
      </w:pPr>
    </w:p>
    <w:p w:rsidR="0022493F" w:rsidRPr="000D71EF" w:rsidRDefault="0022493F" w:rsidP="00C7192C">
      <w:pPr>
        <w:spacing w:after="0"/>
        <w:ind w:left="720"/>
        <w:jc w:val="right"/>
      </w:pPr>
    </w:p>
    <w:p w:rsidR="0022493F" w:rsidRPr="000D71EF" w:rsidRDefault="0022493F" w:rsidP="00C7192C">
      <w:pPr>
        <w:spacing w:after="0"/>
        <w:ind w:left="720"/>
        <w:jc w:val="right"/>
      </w:pPr>
    </w:p>
    <w:p w:rsidR="0022493F" w:rsidRPr="000D71EF" w:rsidRDefault="0022493F" w:rsidP="00C7192C">
      <w:pPr>
        <w:spacing w:after="0"/>
        <w:ind w:left="720"/>
        <w:jc w:val="right"/>
      </w:pPr>
    </w:p>
    <w:p w:rsidR="0022493F" w:rsidRPr="000D71EF" w:rsidRDefault="0022493F" w:rsidP="00C7192C">
      <w:pPr>
        <w:spacing w:after="0"/>
        <w:ind w:left="720"/>
        <w:jc w:val="right"/>
      </w:pPr>
    </w:p>
    <w:p w:rsidR="0022493F" w:rsidRPr="000D71EF" w:rsidRDefault="0022493F" w:rsidP="00C7192C">
      <w:pPr>
        <w:spacing w:after="0"/>
        <w:ind w:left="720"/>
        <w:jc w:val="right"/>
      </w:pPr>
    </w:p>
    <w:p w:rsidR="0022493F" w:rsidRPr="000D71EF" w:rsidRDefault="0022493F" w:rsidP="00C7192C">
      <w:pPr>
        <w:spacing w:after="0"/>
        <w:ind w:left="720"/>
        <w:jc w:val="right"/>
      </w:pPr>
    </w:p>
    <w:p w:rsidR="0022493F" w:rsidRPr="000D71EF" w:rsidRDefault="0022493F" w:rsidP="00C7192C">
      <w:pPr>
        <w:spacing w:after="0"/>
        <w:ind w:left="720"/>
        <w:jc w:val="right"/>
      </w:pPr>
    </w:p>
    <w:p w:rsidR="004D5FCB" w:rsidRPr="000D71EF" w:rsidRDefault="004D5FCB" w:rsidP="00C7192C">
      <w:pPr>
        <w:spacing w:after="0"/>
        <w:ind w:left="720"/>
        <w:jc w:val="right"/>
      </w:pPr>
    </w:p>
    <w:p w:rsidR="00431AF9" w:rsidRPr="000D71EF" w:rsidRDefault="00431AF9" w:rsidP="004D5FCB">
      <w:pPr>
        <w:ind w:left="720"/>
        <w:jc w:val="right"/>
      </w:pPr>
      <w:r w:rsidRPr="000D71EF">
        <w:lastRenderedPageBreak/>
        <w:t>Informačný list predmetu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>Vysoká škola:</w:t>
            </w:r>
            <w:r w:rsidRPr="000D71EF">
              <w:t xml:space="preserve"> </w:t>
            </w:r>
            <w:r w:rsidRPr="000D71EF">
              <w:rPr>
                <w:iCs/>
              </w:rPr>
              <w:t>Univerzita Komenského v Bratislave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 xml:space="preserve">Fakulta: </w:t>
            </w:r>
            <w:r w:rsidRPr="000D71EF">
              <w:rPr>
                <w:iCs/>
              </w:rPr>
              <w:t>Právnická fakulta</w:t>
            </w:r>
          </w:p>
        </w:tc>
      </w:tr>
      <w:tr w:rsidR="00431AF9" w:rsidRPr="000D71EF" w:rsidTr="00617909">
        <w:tc>
          <w:tcPr>
            <w:tcW w:w="4606" w:type="dxa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>Kód predmetu:</w:t>
            </w:r>
          </w:p>
        </w:tc>
        <w:tc>
          <w:tcPr>
            <w:tcW w:w="4606" w:type="dxa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 xml:space="preserve">Názov predmetu: </w:t>
            </w:r>
            <w:r w:rsidRPr="000D71EF">
              <w:rPr>
                <w:i/>
                <w:iCs/>
              </w:rPr>
              <w:t xml:space="preserve">Štátna skúška </w:t>
            </w:r>
            <w:r w:rsidR="00E46DC7" w:rsidRPr="000D71EF">
              <w:rPr>
                <w:i/>
                <w:iCs/>
              </w:rPr>
              <w:t>– verejnoprávna oblasť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 xml:space="preserve">Druh, rozsah a metóda vzdelávacích činností: </w:t>
            </w:r>
          </w:p>
          <w:p w:rsidR="00431AF9" w:rsidRPr="000D71EF" w:rsidRDefault="00431AF9" w:rsidP="00C7192C">
            <w:pPr>
              <w:spacing w:after="0"/>
              <w:rPr>
                <w:iCs/>
              </w:rPr>
            </w:pPr>
            <w:r w:rsidRPr="000D71EF">
              <w:rPr>
                <w:iCs/>
              </w:rPr>
              <w:t>Denná</w:t>
            </w:r>
            <w:r w:rsidR="0022493F" w:rsidRPr="000D71EF">
              <w:rPr>
                <w:iCs/>
              </w:rPr>
              <w:t xml:space="preserve"> forma štúdia</w:t>
            </w:r>
            <w:r w:rsidRPr="000D71EF">
              <w:rPr>
                <w:iCs/>
              </w:rPr>
              <w:t xml:space="preserve">: 150 hodín </w:t>
            </w:r>
            <w:proofErr w:type="spellStart"/>
            <w:r w:rsidRPr="000D71EF">
              <w:rPr>
                <w:iCs/>
              </w:rPr>
              <w:t>samoštúdia</w:t>
            </w:r>
            <w:proofErr w:type="spellEnd"/>
            <w:r w:rsidRPr="000D71EF">
              <w:rPr>
                <w:iCs/>
              </w:rPr>
              <w:t xml:space="preserve"> za semester, dištančná metóda              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 xml:space="preserve">Počet kreditov: </w:t>
            </w:r>
            <w:r w:rsidRPr="000D71EF">
              <w:rPr>
                <w:iCs/>
              </w:rPr>
              <w:t>5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sz w:val="20"/>
                <w:szCs w:val="20"/>
              </w:rPr>
            </w:pPr>
            <w:r w:rsidRPr="000D71EF">
              <w:rPr>
                <w:b/>
                <w:bCs/>
              </w:rPr>
              <w:t>Odporúčaný semester/</w:t>
            </w:r>
            <w:proofErr w:type="spellStart"/>
            <w:r w:rsidRPr="000D71EF">
              <w:rPr>
                <w:b/>
                <w:bCs/>
              </w:rPr>
              <w:t>trimester</w:t>
            </w:r>
            <w:proofErr w:type="spellEnd"/>
            <w:r w:rsidRPr="000D71EF">
              <w:rPr>
                <w:b/>
                <w:bCs/>
              </w:rPr>
              <w:t xml:space="preserve"> štúdia:</w:t>
            </w:r>
            <w:r w:rsidRPr="000D71EF">
              <w:rPr>
                <w:sz w:val="20"/>
                <w:szCs w:val="20"/>
              </w:rPr>
              <w:t xml:space="preserve"> </w:t>
            </w:r>
            <w:r w:rsidRPr="000D71EF">
              <w:rPr>
                <w:iCs/>
              </w:rPr>
              <w:t xml:space="preserve">4. semester  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 xml:space="preserve">Stupeň štúdia: </w:t>
            </w:r>
            <w:r w:rsidRPr="000D71EF">
              <w:rPr>
                <w:iCs/>
              </w:rPr>
              <w:t>2.</w:t>
            </w:r>
            <w:r w:rsidR="008A6A34" w:rsidRPr="000D71EF">
              <w:rPr>
                <w:iCs/>
              </w:rPr>
              <w:t xml:space="preserve"> stupeň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t xml:space="preserve">Podmieňujúce predmety: </w:t>
            </w:r>
            <w:r w:rsidRPr="000D71EF">
              <w:rPr>
                <w:bCs/>
              </w:rPr>
              <w:t>Medzinárodné právo verejné 1, Medzinárodné právo verejné 2, Európske právo 1, Európske právo 2, Európske súťažné právo a štátna pomoc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>Podmienky na absolvovanie predmetu:</w:t>
            </w:r>
          </w:p>
          <w:p w:rsidR="00431AF9" w:rsidRPr="000D71EF" w:rsidRDefault="00431AF9" w:rsidP="00C7192C">
            <w:pPr>
              <w:spacing w:after="0"/>
              <w:rPr>
                <w:iCs/>
              </w:rPr>
            </w:pPr>
            <w:r w:rsidRPr="000D71EF">
              <w:rPr>
                <w:iCs/>
              </w:rPr>
              <w:t xml:space="preserve">Priebežné hodnotenie: </w:t>
            </w:r>
          </w:p>
          <w:p w:rsidR="00431AF9" w:rsidRPr="000D71EF" w:rsidRDefault="00431AF9" w:rsidP="00C7192C">
            <w:pPr>
              <w:spacing w:after="0"/>
              <w:rPr>
                <w:iCs/>
              </w:rPr>
            </w:pPr>
            <w:r w:rsidRPr="000D71EF">
              <w:rPr>
                <w:iCs/>
              </w:rPr>
              <w:t>Záverečné hodnotenie: ústna skúška a vypracovanie modelového prípadu (100%)</w:t>
            </w:r>
          </w:p>
          <w:p w:rsidR="00431AF9" w:rsidRPr="000D71EF" w:rsidRDefault="00431AF9" w:rsidP="00C7192C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0D71EF">
              <w:rPr>
                <w:iCs/>
              </w:rPr>
              <w:t>Klasifikačná stupnica: A/1 = 91 – 100 %; B/1,5 = 81 – 90 %; C/2 = 73 – 80 %; D/2,5 = 66 – 72 %; E/3 = 61 – 65 %; FX = 0 – 60 %.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jc w:val="both"/>
              <w:rPr>
                <w:b/>
                <w:bCs/>
              </w:rPr>
            </w:pPr>
            <w:r w:rsidRPr="000D71EF">
              <w:rPr>
                <w:b/>
                <w:bCs/>
              </w:rPr>
              <w:t xml:space="preserve">Výsledky vzdelávania: </w:t>
            </w:r>
            <w:r w:rsidRPr="000D71EF">
              <w:rPr>
                <w:iCs/>
              </w:rPr>
              <w:t>Študent získava vzdelávacie výstupy v oblasti medzinárodného práva verejného, verejnoprávnych aspektov európskeho práva a európskeho súťažného práva. Vie sumarizovať poznatky o náročných inštitútoch medzinárodného práva verejného, verejnoprávnych aspektov európskeho práva a európskeho súťažného práva.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>Stručná osnova predmetu:</w:t>
            </w:r>
          </w:p>
          <w:p w:rsidR="00BA0EE2" w:rsidRPr="000D71EF" w:rsidRDefault="00BA0EE2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Pojem, predmet, pramene</w:t>
            </w:r>
          </w:p>
          <w:p w:rsidR="00BA0EE2" w:rsidRPr="000D71EF" w:rsidRDefault="00BA0EE2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Subjekty, zodpovednosť</w:t>
            </w:r>
            <w:r w:rsidR="00431AF9" w:rsidRPr="000D71EF">
              <w:rPr>
                <w:iCs/>
              </w:rPr>
              <w:t xml:space="preserve"> </w:t>
            </w:r>
          </w:p>
          <w:p w:rsidR="00431AF9" w:rsidRPr="000D71EF" w:rsidRDefault="00BA0EE2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S</w:t>
            </w:r>
            <w:r w:rsidR="00431AF9" w:rsidRPr="000D71EF">
              <w:rPr>
                <w:iCs/>
              </w:rPr>
              <w:t xml:space="preserve">ankcie, prostriedky mierového </w:t>
            </w:r>
            <w:r w:rsidRPr="000D71EF">
              <w:rPr>
                <w:iCs/>
              </w:rPr>
              <w:t>riešenia medzinárodných sporov</w:t>
            </w:r>
          </w:p>
          <w:p w:rsidR="00BA0EE2" w:rsidRPr="000D71EF" w:rsidRDefault="00431AF9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Územie (štátne územie, kozmický priestor, šíre more</w:t>
            </w:r>
            <w:r w:rsidR="00BA0EE2" w:rsidRPr="000D71EF">
              <w:rPr>
                <w:iCs/>
              </w:rPr>
              <w:t xml:space="preserve"> a iné medzinárodné priestory)</w:t>
            </w:r>
          </w:p>
          <w:p w:rsidR="00BA0EE2" w:rsidRPr="000D71EF" w:rsidRDefault="00BA0EE2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O</w:t>
            </w:r>
            <w:r w:rsidR="00431AF9" w:rsidRPr="000D71EF">
              <w:rPr>
                <w:iCs/>
              </w:rPr>
              <w:t xml:space="preserve">byvateľstvo (štátni občania, cudzinci, </w:t>
            </w:r>
            <w:proofErr w:type="spellStart"/>
            <w:r w:rsidR="00431AF9" w:rsidRPr="000D71EF">
              <w:rPr>
                <w:iCs/>
              </w:rPr>
              <w:t>bipoliti</w:t>
            </w:r>
            <w:proofErr w:type="spellEnd"/>
            <w:r w:rsidR="00431AF9" w:rsidRPr="000D71EF">
              <w:rPr>
                <w:iCs/>
              </w:rPr>
              <w:t xml:space="preserve">, </w:t>
            </w:r>
            <w:proofErr w:type="spellStart"/>
            <w:r w:rsidRPr="000D71EF">
              <w:rPr>
                <w:iCs/>
              </w:rPr>
              <w:t>apoliti</w:t>
            </w:r>
            <w:proofErr w:type="spellEnd"/>
            <w:r w:rsidRPr="000D71EF">
              <w:rPr>
                <w:iCs/>
              </w:rPr>
              <w:t xml:space="preserve">, ochrana ľudských práv) </w:t>
            </w:r>
          </w:p>
          <w:p w:rsidR="00431AF9" w:rsidRPr="000D71EF" w:rsidRDefault="00BA0EE2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Š</w:t>
            </w:r>
            <w:r w:rsidR="00431AF9" w:rsidRPr="000D71EF">
              <w:rPr>
                <w:iCs/>
              </w:rPr>
              <w:t>tátna suverenita (štát, diplomatické a konzulárne právo, zmluvné právo, právo medzinárodných organizácií, medzinárodn</w:t>
            </w:r>
            <w:r w:rsidRPr="000D71EF">
              <w:rPr>
                <w:iCs/>
              </w:rPr>
              <w:t>é právo ozbrojených konfliktov)</w:t>
            </w:r>
          </w:p>
          <w:p w:rsidR="00BA0EE2" w:rsidRPr="000D71EF" w:rsidRDefault="00431AF9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P</w:t>
            </w:r>
            <w:r w:rsidR="00BA0EE2" w:rsidRPr="000D71EF">
              <w:rPr>
                <w:iCs/>
              </w:rPr>
              <w:t>ojem, predmet, pramene a normy</w:t>
            </w:r>
          </w:p>
          <w:p w:rsidR="00BA0EE2" w:rsidRPr="000D71EF" w:rsidRDefault="00BA0EE2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Vývoj I</w:t>
            </w:r>
          </w:p>
          <w:p w:rsidR="00BA0EE2" w:rsidRPr="000D71EF" w:rsidRDefault="00BA0EE2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Vývoj II</w:t>
            </w:r>
          </w:p>
          <w:p w:rsidR="00BA0EE2" w:rsidRPr="000D71EF" w:rsidRDefault="00BA0EE2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 xml:space="preserve"> I</w:t>
            </w:r>
            <w:r w:rsidR="00431AF9" w:rsidRPr="000D71EF">
              <w:rPr>
                <w:iCs/>
              </w:rPr>
              <w:t>nštitúc</w:t>
            </w:r>
            <w:r w:rsidRPr="000D71EF">
              <w:rPr>
                <w:iCs/>
              </w:rPr>
              <w:t>ie</w:t>
            </w:r>
          </w:p>
          <w:p w:rsidR="00BA0EE2" w:rsidRPr="000D71EF" w:rsidRDefault="00BA0EE2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Súdny systém</w:t>
            </w:r>
            <w:r w:rsidR="00431AF9" w:rsidRPr="000D71EF">
              <w:rPr>
                <w:iCs/>
              </w:rPr>
              <w:t xml:space="preserve"> </w:t>
            </w:r>
          </w:p>
          <w:p w:rsidR="00431AF9" w:rsidRPr="000D71EF" w:rsidRDefault="00BA0EE2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Vnútorný trh EÚ</w:t>
            </w:r>
          </w:p>
          <w:p w:rsidR="00BA0EE2" w:rsidRPr="000D71EF" w:rsidRDefault="00431AF9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 xml:space="preserve">Súťažné právo EÚ </w:t>
            </w:r>
            <w:r w:rsidR="00BA0EE2" w:rsidRPr="000D71EF">
              <w:rPr>
                <w:iCs/>
              </w:rPr>
              <w:t xml:space="preserve">I </w:t>
            </w:r>
            <w:r w:rsidRPr="000D71EF">
              <w:rPr>
                <w:iCs/>
              </w:rPr>
              <w:t xml:space="preserve">- Dohody obmedzujúce hospodársku súťaž, zneužívanie </w:t>
            </w:r>
            <w:r w:rsidR="00BA0EE2" w:rsidRPr="000D71EF">
              <w:rPr>
                <w:iCs/>
              </w:rPr>
              <w:t>dominantného postavenia na trhu</w:t>
            </w:r>
          </w:p>
          <w:p w:rsidR="00431AF9" w:rsidRPr="000D71EF" w:rsidRDefault="00BA0EE2" w:rsidP="0022493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iCs/>
              </w:rPr>
            </w:pPr>
            <w:r w:rsidRPr="000D71EF">
              <w:rPr>
                <w:iCs/>
              </w:rPr>
              <w:t>Súťažné právo EÚ II - K</w:t>
            </w:r>
            <w:r w:rsidR="00431AF9" w:rsidRPr="000D71EF">
              <w:rPr>
                <w:iCs/>
              </w:rPr>
              <w:t>ontrola koncentrácií, štátna pomoc.</w:t>
            </w:r>
            <w:r w:rsidR="00431AF9" w:rsidRPr="000D71EF">
              <w:t xml:space="preserve"> 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>Odporúčaná literatúra:</w:t>
            </w:r>
          </w:p>
          <w:p w:rsidR="00431AF9" w:rsidRPr="000D71EF" w:rsidRDefault="00431AF9" w:rsidP="0022493F">
            <w:pPr>
              <w:spacing w:after="0" w:line="240" w:lineRule="auto"/>
              <w:jc w:val="both"/>
            </w:pPr>
            <w:proofErr w:type="spellStart"/>
            <w:r w:rsidRPr="000D71EF">
              <w:t>Amerasinghe</w:t>
            </w:r>
            <w:proofErr w:type="spellEnd"/>
            <w:r w:rsidRPr="000D71EF">
              <w:t xml:space="preserve">, C.F.: </w:t>
            </w:r>
            <w:proofErr w:type="spellStart"/>
            <w:r w:rsidRPr="000D71EF">
              <w:rPr>
                <w:iCs/>
              </w:rPr>
              <w:t>Principles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Institutional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Organizations</w:t>
            </w:r>
            <w:proofErr w:type="spellEnd"/>
            <w:r w:rsidRPr="000D71EF">
              <w:rPr>
                <w:iCs/>
              </w:rPr>
              <w:t>.</w:t>
            </w:r>
            <w:r w:rsidRPr="000D71EF">
              <w:t xml:space="preserve"> Cambridge: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2005.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Evans</w:t>
            </w:r>
            <w:proofErr w:type="spellEnd"/>
            <w:r w:rsidRPr="000D71EF">
              <w:t xml:space="preserve">, M. D.: </w:t>
            </w:r>
            <w:proofErr w:type="spellStart"/>
            <w:r w:rsidRPr="000D71EF">
              <w:rPr>
                <w:iCs/>
              </w:rPr>
              <w:t>Blackstone’s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Documents</w:t>
            </w:r>
            <w:proofErr w:type="spellEnd"/>
            <w:r w:rsidRPr="000D71EF">
              <w:rPr>
                <w:iCs/>
              </w:rPr>
              <w:t>.</w:t>
            </w:r>
            <w:r w:rsidRPr="000D71EF">
              <w:t xml:space="preserve"> 10</w:t>
            </w:r>
            <w:r w:rsidRPr="000D71EF">
              <w:rPr>
                <w:vertAlign w:val="superscript"/>
              </w:rPr>
              <w:t>th</w:t>
            </w:r>
            <w:r w:rsidRPr="000D71EF">
              <w:t xml:space="preserve"> </w:t>
            </w:r>
            <w:proofErr w:type="spellStart"/>
            <w:r w:rsidRPr="000D71EF">
              <w:t>edition</w:t>
            </w:r>
            <w:proofErr w:type="spellEnd"/>
            <w:r w:rsidRPr="000D71EF">
              <w:t xml:space="preserve">, New York: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2011.</w:t>
            </w:r>
          </w:p>
          <w:p w:rsidR="00431AF9" w:rsidRPr="000D71EF" w:rsidRDefault="00431AF9" w:rsidP="0022493F">
            <w:pPr>
              <w:spacing w:after="0" w:line="240" w:lineRule="auto"/>
              <w:jc w:val="both"/>
            </w:pPr>
            <w:proofErr w:type="spellStart"/>
            <w:r w:rsidRPr="000D71EF">
              <w:t>Gary</w:t>
            </w:r>
            <w:proofErr w:type="spellEnd"/>
            <w:r w:rsidRPr="000D71EF">
              <w:t xml:space="preserve"> D. </w:t>
            </w:r>
            <w:proofErr w:type="spellStart"/>
            <w:r w:rsidRPr="000D71EF">
              <w:t>Solis</w:t>
            </w:r>
            <w:proofErr w:type="spellEnd"/>
            <w:r w:rsidRPr="000D71EF">
              <w:t xml:space="preserve">: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Armed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Conflict</w:t>
            </w:r>
            <w:proofErr w:type="spellEnd"/>
            <w:r w:rsidRPr="000D71EF">
              <w:rPr>
                <w:iCs/>
              </w:rPr>
              <w:t xml:space="preserve">: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Humanitarian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in </w:t>
            </w:r>
            <w:proofErr w:type="spellStart"/>
            <w:r w:rsidRPr="000D71EF">
              <w:rPr>
                <w:iCs/>
              </w:rPr>
              <w:t>War</w:t>
            </w:r>
            <w:proofErr w:type="spellEnd"/>
            <w:r w:rsidRPr="000D71EF">
              <w:t xml:space="preserve">. </w:t>
            </w:r>
            <w:r w:rsidRPr="000D71EF">
              <w:lastRenderedPageBreak/>
              <w:t xml:space="preserve">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2010.</w:t>
            </w:r>
          </w:p>
          <w:p w:rsidR="00431AF9" w:rsidRPr="000D71EF" w:rsidRDefault="00431AF9" w:rsidP="0022493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0D71EF">
              <w:t>Goldstone</w:t>
            </w:r>
            <w:proofErr w:type="spellEnd"/>
            <w:r w:rsidRPr="000D71EF">
              <w:t xml:space="preserve">, R., </w:t>
            </w:r>
            <w:proofErr w:type="spellStart"/>
            <w:r w:rsidRPr="000D71EF">
              <w:t>Smith</w:t>
            </w:r>
            <w:proofErr w:type="spellEnd"/>
            <w:r w:rsidRPr="000D71EF">
              <w:t xml:space="preserve">, A. M.: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Judicial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Institutions</w:t>
            </w:r>
            <w:proofErr w:type="spellEnd"/>
            <w:r w:rsidRPr="000D71EF">
              <w:t xml:space="preserve">. New York: </w:t>
            </w:r>
            <w:proofErr w:type="spellStart"/>
            <w:r w:rsidRPr="000D71EF">
              <w:t>Routledge</w:t>
            </w:r>
            <w:proofErr w:type="spellEnd"/>
            <w:r w:rsidRPr="000D71EF">
              <w:t>, 2009.</w:t>
            </w:r>
          </w:p>
          <w:p w:rsidR="00431AF9" w:rsidRPr="000D71EF" w:rsidRDefault="00431AF9" w:rsidP="00224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</w:rPr>
            </w:pPr>
            <w:r w:rsidRPr="000D71EF">
              <w:t xml:space="preserve">Harris, D. J.: </w:t>
            </w:r>
            <w:proofErr w:type="spellStart"/>
            <w:r w:rsidRPr="000D71EF">
              <w:rPr>
                <w:iCs/>
              </w:rPr>
              <w:t>Cases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Materials</w:t>
            </w:r>
            <w:proofErr w:type="spellEnd"/>
            <w:r w:rsidRPr="000D71EF">
              <w:rPr>
                <w:iCs/>
              </w:rPr>
              <w:t xml:space="preserve"> on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London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Sweet</w:t>
            </w:r>
            <w:proofErr w:type="spellEnd"/>
            <w:r w:rsidRPr="000D71EF">
              <w:t xml:space="preserve"> and </w:t>
            </w:r>
            <w:proofErr w:type="spellStart"/>
            <w:r w:rsidRPr="000D71EF">
              <w:t>Maxwell</w:t>
            </w:r>
            <w:proofErr w:type="spellEnd"/>
            <w:r w:rsidRPr="000D71EF">
              <w:t>,</w:t>
            </w:r>
            <w:r w:rsidRPr="000D71EF">
              <w:rPr>
                <w:iCs/>
              </w:rPr>
              <w:t xml:space="preserve"> </w:t>
            </w:r>
            <w:r w:rsidRPr="000D71EF">
              <w:t>2010.</w:t>
            </w:r>
          </w:p>
          <w:p w:rsidR="00431AF9" w:rsidRPr="000D71EF" w:rsidRDefault="00431AF9" w:rsidP="00224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</w:rPr>
            </w:pPr>
            <w:proofErr w:type="spellStart"/>
            <w:r w:rsidRPr="000D71EF">
              <w:t>Mackenzie</w:t>
            </w:r>
            <w:proofErr w:type="spellEnd"/>
            <w:r w:rsidRPr="000D71EF">
              <w:t xml:space="preserve">, R., </w:t>
            </w:r>
            <w:proofErr w:type="spellStart"/>
            <w:r w:rsidRPr="000D71EF">
              <w:t>Romano</w:t>
            </w:r>
            <w:proofErr w:type="spellEnd"/>
            <w:r w:rsidRPr="000D71EF">
              <w:t xml:space="preserve">, C., </w:t>
            </w:r>
            <w:proofErr w:type="spellStart"/>
            <w:r w:rsidRPr="000D71EF">
              <w:t>Sands</w:t>
            </w:r>
            <w:proofErr w:type="spellEnd"/>
            <w:r w:rsidRPr="000D71EF">
              <w:t xml:space="preserve">, P., </w:t>
            </w:r>
            <w:proofErr w:type="spellStart"/>
            <w:r w:rsidRPr="000D71EF">
              <w:t>Shany</w:t>
            </w:r>
            <w:proofErr w:type="spellEnd"/>
            <w:r w:rsidRPr="000D71EF">
              <w:t xml:space="preserve">, Y.: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Manual</w:t>
            </w:r>
            <w:proofErr w:type="spellEnd"/>
            <w:r w:rsidRPr="000D71EF">
              <w:rPr>
                <w:iCs/>
              </w:rPr>
              <w:t xml:space="preserve"> on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Courts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Tribunals</w:t>
            </w:r>
            <w:proofErr w:type="spellEnd"/>
            <w:r w:rsidRPr="000D71EF">
              <w:t xml:space="preserve">. New York: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2010.</w:t>
            </w:r>
          </w:p>
          <w:p w:rsidR="00431AF9" w:rsidRPr="000D71EF" w:rsidRDefault="00431AF9" w:rsidP="0022493F">
            <w:pPr>
              <w:spacing w:after="0" w:line="240" w:lineRule="auto"/>
              <w:jc w:val="both"/>
            </w:pPr>
            <w:proofErr w:type="spellStart"/>
            <w:r w:rsidRPr="000D71EF">
              <w:t>Shaw</w:t>
            </w:r>
            <w:proofErr w:type="spellEnd"/>
            <w:r w:rsidRPr="000D71EF">
              <w:t xml:space="preserve">, M. N.: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 xml:space="preserve">. Cambridge: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Press; 2014.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Simma</w:t>
            </w:r>
            <w:proofErr w:type="spellEnd"/>
            <w:r w:rsidRPr="000D71EF">
              <w:t xml:space="preserve">, B.: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Charter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United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Nations</w:t>
            </w:r>
            <w:proofErr w:type="spellEnd"/>
            <w:r w:rsidRPr="000D71EF">
              <w:rPr>
                <w:iCs/>
              </w:rPr>
              <w:t>: A </w:t>
            </w:r>
            <w:proofErr w:type="spellStart"/>
            <w:r w:rsidRPr="000D71EF">
              <w:rPr>
                <w:iCs/>
              </w:rPr>
              <w:t>Commentary</w:t>
            </w:r>
            <w:proofErr w:type="spellEnd"/>
            <w:r w:rsidRPr="000D71EF">
              <w:t xml:space="preserve">. New York: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2013.</w:t>
            </w:r>
          </w:p>
          <w:p w:rsidR="00431AF9" w:rsidRPr="000D71EF" w:rsidRDefault="00431AF9" w:rsidP="0022493F">
            <w:pPr>
              <w:spacing w:after="0" w:line="240" w:lineRule="auto"/>
              <w:jc w:val="both"/>
            </w:pPr>
            <w:proofErr w:type="spellStart"/>
            <w:r w:rsidRPr="000D71EF">
              <w:t>White</w:t>
            </w:r>
            <w:proofErr w:type="spellEnd"/>
            <w:r w:rsidRPr="000D71EF">
              <w:t xml:space="preserve">, </w:t>
            </w:r>
            <w:r w:rsidRPr="000D71EF">
              <w:rPr>
                <w:caps/>
              </w:rPr>
              <w:t>N. D</w:t>
            </w:r>
            <w:r w:rsidRPr="000D71EF">
              <w:t xml:space="preserve">.: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Organisations</w:t>
            </w:r>
            <w:proofErr w:type="spellEnd"/>
            <w:r w:rsidRPr="000D71EF">
              <w:rPr>
                <w:iCs/>
              </w:rPr>
              <w:t xml:space="preserve">. </w:t>
            </w:r>
            <w:r w:rsidRPr="000D71EF">
              <w:t>Manchester:</w:t>
            </w:r>
            <w:r w:rsidRPr="000D71EF">
              <w:rPr>
                <w:iCs/>
              </w:rPr>
              <w:t xml:space="preserve"> </w:t>
            </w:r>
            <w:r w:rsidRPr="000D71EF">
              <w:t xml:space="preserve">Manchester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2005.</w:t>
            </w:r>
          </w:p>
          <w:p w:rsidR="00431AF9" w:rsidRPr="000D71EF" w:rsidRDefault="00431AF9" w:rsidP="0022493F">
            <w:pPr>
              <w:spacing w:after="0" w:line="240" w:lineRule="auto"/>
              <w:jc w:val="both"/>
            </w:pPr>
            <w:proofErr w:type="spellStart"/>
            <w:r w:rsidRPr="000D71EF">
              <w:t>Zimmermann</w:t>
            </w:r>
            <w:proofErr w:type="spellEnd"/>
            <w:r w:rsidRPr="000D71EF">
              <w:t xml:space="preserve">, A.: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Statute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International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Court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Justice</w:t>
            </w:r>
            <w:proofErr w:type="spellEnd"/>
            <w:r w:rsidRPr="000D71EF">
              <w:rPr>
                <w:iCs/>
              </w:rPr>
              <w:t>: A </w:t>
            </w:r>
            <w:proofErr w:type="spellStart"/>
            <w:r w:rsidRPr="000D71EF">
              <w:rPr>
                <w:iCs/>
              </w:rPr>
              <w:t>Commentar</w:t>
            </w:r>
            <w:proofErr w:type="spellEnd"/>
            <w:r w:rsidRPr="000D71EF">
              <w:rPr>
                <w:iCs/>
              </w:rPr>
              <w:t>.</w:t>
            </w:r>
            <w:r w:rsidRPr="000D71EF">
              <w:t xml:space="preserve"> New York: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2012.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Barnard</w:t>
            </w:r>
            <w:proofErr w:type="spellEnd"/>
            <w:r w:rsidRPr="000D71EF">
              <w:t xml:space="preserve">, C.: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Substantive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the</w:t>
            </w:r>
            <w:proofErr w:type="spellEnd"/>
            <w:r w:rsidRPr="000D71EF">
              <w:rPr>
                <w:iCs/>
              </w:rPr>
              <w:t xml:space="preserve"> EU</w:t>
            </w:r>
            <w:r w:rsidRPr="000D71EF">
              <w:t>. Cambridge: CUP, 2013.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Chalmers</w:t>
            </w:r>
            <w:proofErr w:type="spellEnd"/>
            <w:r w:rsidRPr="000D71EF">
              <w:t xml:space="preserve">, D., </w:t>
            </w:r>
            <w:proofErr w:type="spellStart"/>
            <w:r w:rsidRPr="000D71EF">
              <w:t>Davies</w:t>
            </w:r>
            <w:proofErr w:type="spellEnd"/>
            <w:r w:rsidRPr="000D71EF">
              <w:t xml:space="preserve">, G., </w:t>
            </w:r>
            <w:proofErr w:type="spellStart"/>
            <w:r w:rsidRPr="000D71EF">
              <w:t>Monti</w:t>
            </w:r>
            <w:proofErr w:type="spellEnd"/>
            <w:r w:rsidRPr="000D71EF">
              <w:t xml:space="preserve">, G.: </w:t>
            </w:r>
            <w:proofErr w:type="spellStart"/>
            <w:r w:rsidRPr="000D71EF">
              <w:rPr>
                <w:iCs/>
              </w:rPr>
              <w:t>European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Union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>. Cambridge: CUP, 2014.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Craig</w:t>
            </w:r>
            <w:proofErr w:type="spellEnd"/>
            <w:r w:rsidRPr="000D71EF">
              <w:t xml:space="preserve">, P., </w:t>
            </w:r>
            <w:proofErr w:type="spellStart"/>
            <w:r w:rsidRPr="000D71EF">
              <w:t>De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Búrca</w:t>
            </w:r>
            <w:proofErr w:type="spellEnd"/>
            <w:r w:rsidRPr="000D71EF">
              <w:t xml:space="preserve">, G.: </w:t>
            </w:r>
            <w:r w:rsidRPr="000D71EF">
              <w:rPr>
                <w:iCs/>
              </w:rPr>
              <w:t xml:space="preserve">EU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. Text, </w:t>
            </w:r>
            <w:proofErr w:type="spellStart"/>
            <w:r w:rsidRPr="000D71EF">
              <w:rPr>
                <w:iCs/>
              </w:rPr>
              <w:t>cases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materials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>: OUP, 2015.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Kaczorowska</w:t>
            </w:r>
            <w:proofErr w:type="spellEnd"/>
            <w:r w:rsidRPr="000D71EF">
              <w:t xml:space="preserve">, A.: </w:t>
            </w:r>
            <w:proofErr w:type="spellStart"/>
            <w:r w:rsidRPr="000D71EF">
              <w:rPr>
                <w:iCs/>
              </w:rPr>
              <w:t>European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Union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 xml:space="preserve">. New York: </w:t>
            </w:r>
            <w:proofErr w:type="spellStart"/>
            <w:r w:rsidRPr="000D71EF">
              <w:t>Routledge-Cavendish</w:t>
            </w:r>
            <w:proofErr w:type="spellEnd"/>
            <w:r w:rsidRPr="000D71EF">
              <w:t>, 2013.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Weatherill</w:t>
            </w:r>
            <w:proofErr w:type="spellEnd"/>
            <w:r w:rsidRPr="000D71EF">
              <w:t xml:space="preserve">, S.: </w:t>
            </w:r>
            <w:proofErr w:type="spellStart"/>
            <w:r w:rsidRPr="000D71EF">
              <w:rPr>
                <w:iCs/>
              </w:rPr>
              <w:t>Cases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Materials</w:t>
            </w:r>
            <w:proofErr w:type="spellEnd"/>
            <w:r w:rsidRPr="000D71EF">
              <w:rPr>
                <w:iCs/>
              </w:rPr>
              <w:t xml:space="preserve"> on EU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>: OUP, 2014.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Geradin</w:t>
            </w:r>
            <w:proofErr w:type="spellEnd"/>
            <w:r w:rsidRPr="000D71EF">
              <w:t xml:space="preserve">, D., </w:t>
            </w:r>
            <w:proofErr w:type="spellStart"/>
            <w:r w:rsidRPr="000D71EF">
              <w:t>Layne-Farrar</w:t>
            </w:r>
            <w:proofErr w:type="spellEnd"/>
            <w:r w:rsidRPr="000D71EF">
              <w:t xml:space="preserve">, A., Petit, N.: </w:t>
            </w:r>
            <w:r w:rsidRPr="000D71EF">
              <w:rPr>
                <w:iCs/>
              </w:rPr>
              <w:t xml:space="preserve">EU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Economics</w:t>
            </w:r>
            <w:proofErr w:type="spellEnd"/>
            <w:r w:rsidRPr="000D71EF">
              <w:rPr>
                <w:iCs/>
              </w:rPr>
              <w:t>.</w:t>
            </w:r>
            <w:r w:rsidRPr="000D71EF">
              <w:t xml:space="preserve">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2012.         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Jones</w:t>
            </w:r>
            <w:proofErr w:type="spellEnd"/>
            <w:r w:rsidRPr="000D71EF">
              <w:t xml:space="preserve">, A., </w:t>
            </w:r>
            <w:proofErr w:type="spellStart"/>
            <w:r w:rsidRPr="000D71EF">
              <w:t>Sufrin</w:t>
            </w:r>
            <w:proofErr w:type="spellEnd"/>
            <w:r w:rsidRPr="000D71EF">
              <w:t xml:space="preserve">, B.: </w:t>
            </w:r>
            <w:r w:rsidRPr="000D71EF">
              <w:rPr>
                <w:iCs/>
              </w:rPr>
              <w:t xml:space="preserve">EU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, Text, </w:t>
            </w:r>
            <w:proofErr w:type="spellStart"/>
            <w:r w:rsidRPr="000D71EF">
              <w:rPr>
                <w:iCs/>
              </w:rPr>
              <w:t>Cases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Materials</w:t>
            </w:r>
            <w:proofErr w:type="spellEnd"/>
            <w:r w:rsidRPr="000D71EF">
              <w:rPr>
                <w:iCs/>
              </w:rPr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2014.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0D71EF">
              <w:t>Kokkoris</w:t>
            </w:r>
            <w:proofErr w:type="spellEnd"/>
            <w:r w:rsidRPr="000D71EF">
              <w:t xml:space="preserve">, I., </w:t>
            </w:r>
            <w:proofErr w:type="spellStart"/>
            <w:r w:rsidRPr="000D71EF">
              <w:t>Shelanski</w:t>
            </w:r>
            <w:proofErr w:type="spellEnd"/>
            <w:r w:rsidRPr="000D71EF">
              <w:t xml:space="preserve">, H.: </w:t>
            </w:r>
            <w:r w:rsidRPr="000D71EF">
              <w:rPr>
                <w:iCs/>
              </w:rPr>
              <w:t xml:space="preserve">EU </w:t>
            </w:r>
            <w:proofErr w:type="spellStart"/>
            <w:r w:rsidRPr="000D71EF">
              <w:rPr>
                <w:iCs/>
              </w:rPr>
              <w:t>Merger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Control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2013.             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Monti</w:t>
            </w:r>
            <w:proofErr w:type="spellEnd"/>
            <w:r w:rsidRPr="000D71EF">
              <w:t xml:space="preserve">, G.: </w:t>
            </w:r>
            <w:proofErr w:type="spellStart"/>
            <w:r w:rsidRPr="000D71EF">
              <w:rPr>
                <w:iCs/>
              </w:rPr>
              <w:t>Perspectives</w:t>
            </w:r>
            <w:proofErr w:type="spellEnd"/>
            <w:r w:rsidRPr="000D71EF">
              <w:rPr>
                <w:iCs/>
              </w:rPr>
              <w:t xml:space="preserve"> on EC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t xml:space="preserve">. Cambridge: Cambridge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2007.</w:t>
            </w:r>
          </w:p>
          <w:p w:rsidR="00431AF9" w:rsidRPr="000D71EF" w:rsidRDefault="00431AF9" w:rsidP="0022493F">
            <w:pPr>
              <w:spacing w:after="0" w:line="240" w:lineRule="auto"/>
            </w:pPr>
            <w:proofErr w:type="spellStart"/>
            <w:r w:rsidRPr="000D71EF">
              <w:t>Niels</w:t>
            </w:r>
            <w:proofErr w:type="spellEnd"/>
            <w:r w:rsidRPr="000D71EF">
              <w:t xml:space="preserve">, G., </w:t>
            </w:r>
            <w:proofErr w:type="spellStart"/>
            <w:r w:rsidRPr="000D71EF">
              <w:t>Jenkins</w:t>
            </w:r>
            <w:proofErr w:type="spellEnd"/>
            <w:r w:rsidRPr="000D71EF">
              <w:t xml:space="preserve">, H., </w:t>
            </w:r>
            <w:proofErr w:type="spellStart"/>
            <w:r w:rsidRPr="000D71EF">
              <w:t>Kavanagh</w:t>
            </w:r>
            <w:proofErr w:type="spellEnd"/>
            <w:r w:rsidRPr="000D71EF">
              <w:t xml:space="preserve">, J.: </w:t>
            </w:r>
            <w:proofErr w:type="spellStart"/>
            <w:r w:rsidRPr="000D71EF">
              <w:rPr>
                <w:iCs/>
              </w:rPr>
              <w:t>Economics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for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Lawyers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2011.</w:t>
            </w:r>
          </w:p>
          <w:p w:rsidR="00431AF9" w:rsidRPr="000D71EF" w:rsidRDefault="00431AF9" w:rsidP="0022493F">
            <w:pPr>
              <w:spacing w:after="0" w:line="240" w:lineRule="auto"/>
            </w:pPr>
            <w:r w:rsidRPr="000D71EF">
              <w:t xml:space="preserve">Rose, V., </w:t>
            </w:r>
            <w:proofErr w:type="spellStart"/>
            <w:r w:rsidRPr="000D71EF">
              <w:t>Bailey</w:t>
            </w:r>
            <w:proofErr w:type="spellEnd"/>
            <w:r w:rsidRPr="000D71EF">
              <w:t xml:space="preserve">, D.: </w:t>
            </w:r>
            <w:proofErr w:type="spellStart"/>
            <w:r w:rsidRPr="000D71EF">
              <w:rPr>
                <w:iCs/>
              </w:rPr>
              <w:t>Bellamy</w:t>
            </w:r>
            <w:proofErr w:type="spellEnd"/>
            <w:r w:rsidRPr="000D71EF">
              <w:rPr>
                <w:iCs/>
              </w:rPr>
              <w:t xml:space="preserve"> and </w:t>
            </w:r>
            <w:proofErr w:type="spellStart"/>
            <w:r w:rsidRPr="000D71EF">
              <w:rPr>
                <w:iCs/>
              </w:rPr>
              <w:t>Child</w:t>
            </w:r>
            <w:proofErr w:type="spellEnd"/>
            <w:r w:rsidRPr="000D71EF">
              <w:rPr>
                <w:iCs/>
              </w:rPr>
              <w:t xml:space="preserve">: </w:t>
            </w:r>
            <w:proofErr w:type="spellStart"/>
            <w:r w:rsidRPr="000D71EF">
              <w:rPr>
                <w:iCs/>
              </w:rPr>
              <w:t>European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Union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Law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of</w:t>
            </w:r>
            <w:proofErr w:type="spellEnd"/>
            <w:r w:rsidRPr="000D71EF">
              <w:rPr>
                <w:iCs/>
              </w:rPr>
              <w:t xml:space="preserve"> </w:t>
            </w:r>
            <w:proofErr w:type="spellStart"/>
            <w:r w:rsidRPr="000D71EF">
              <w:rPr>
                <w:iCs/>
              </w:rPr>
              <w:t>Competition</w:t>
            </w:r>
            <w:proofErr w:type="spellEnd"/>
            <w:r w:rsidRPr="000D71EF">
              <w:t xml:space="preserve">.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: </w:t>
            </w:r>
            <w:proofErr w:type="spellStart"/>
            <w:r w:rsidRPr="000D71EF">
              <w:t>Oxford</w:t>
            </w:r>
            <w:proofErr w:type="spellEnd"/>
            <w:r w:rsidRPr="000D71EF">
              <w:t xml:space="preserve"> </w:t>
            </w:r>
            <w:proofErr w:type="spellStart"/>
            <w:r w:rsidRPr="000D71EF">
              <w:t>University</w:t>
            </w:r>
            <w:proofErr w:type="spellEnd"/>
            <w:r w:rsidRPr="000D71EF">
              <w:t xml:space="preserve"> Press, 2015.                                                                              </w:t>
            </w:r>
          </w:p>
          <w:p w:rsidR="00431AF9" w:rsidRPr="000D71EF" w:rsidRDefault="00431AF9" w:rsidP="0022493F">
            <w:pPr>
              <w:spacing w:after="0" w:line="240" w:lineRule="auto"/>
              <w:jc w:val="both"/>
              <w:rPr>
                <w:iCs/>
                <w:kern w:val="1"/>
              </w:rPr>
            </w:pPr>
            <w:proofErr w:type="spellStart"/>
            <w:r w:rsidRPr="000D71EF">
              <w:rPr>
                <w:kern w:val="1"/>
              </w:rPr>
              <w:t>Whish</w:t>
            </w:r>
            <w:proofErr w:type="spellEnd"/>
            <w:r w:rsidRPr="000D71EF">
              <w:rPr>
                <w:kern w:val="1"/>
              </w:rPr>
              <w:t xml:space="preserve">, R., </w:t>
            </w:r>
            <w:proofErr w:type="spellStart"/>
            <w:r w:rsidRPr="000D71EF">
              <w:rPr>
                <w:kern w:val="1"/>
              </w:rPr>
              <w:t>Bailey</w:t>
            </w:r>
            <w:proofErr w:type="spellEnd"/>
            <w:r w:rsidRPr="000D71EF">
              <w:rPr>
                <w:kern w:val="1"/>
              </w:rPr>
              <w:t xml:space="preserve">, D.: </w:t>
            </w:r>
            <w:proofErr w:type="spellStart"/>
            <w:r w:rsidRPr="000D71EF">
              <w:rPr>
                <w:iCs/>
                <w:kern w:val="1"/>
              </w:rPr>
              <w:t>Competition</w:t>
            </w:r>
            <w:proofErr w:type="spellEnd"/>
            <w:r w:rsidRPr="000D71EF">
              <w:rPr>
                <w:iCs/>
                <w:kern w:val="1"/>
              </w:rPr>
              <w:t xml:space="preserve"> </w:t>
            </w:r>
            <w:proofErr w:type="spellStart"/>
            <w:r w:rsidRPr="000D71EF">
              <w:rPr>
                <w:iCs/>
                <w:kern w:val="1"/>
              </w:rPr>
              <w:t>law</w:t>
            </w:r>
            <w:proofErr w:type="spellEnd"/>
            <w:r w:rsidRPr="000D71EF">
              <w:rPr>
                <w:kern w:val="1"/>
              </w:rPr>
              <w:t xml:space="preserve">. </w:t>
            </w:r>
            <w:proofErr w:type="spellStart"/>
            <w:r w:rsidRPr="000D71EF">
              <w:rPr>
                <w:kern w:val="1"/>
              </w:rPr>
              <w:t>Oxford</w:t>
            </w:r>
            <w:proofErr w:type="spellEnd"/>
            <w:r w:rsidRPr="000D71EF">
              <w:rPr>
                <w:kern w:val="1"/>
              </w:rPr>
              <w:t xml:space="preserve">: </w:t>
            </w:r>
            <w:proofErr w:type="spellStart"/>
            <w:r w:rsidRPr="000D71EF">
              <w:rPr>
                <w:kern w:val="1"/>
              </w:rPr>
              <w:t>Oxford</w:t>
            </w:r>
            <w:proofErr w:type="spellEnd"/>
            <w:r w:rsidRPr="000D71EF">
              <w:rPr>
                <w:kern w:val="1"/>
              </w:rPr>
              <w:t xml:space="preserve"> </w:t>
            </w:r>
            <w:proofErr w:type="spellStart"/>
            <w:r w:rsidRPr="000D71EF">
              <w:rPr>
                <w:kern w:val="1"/>
              </w:rPr>
              <w:t>university</w:t>
            </w:r>
            <w:proofErr w:type="spellEnd"/>
            <w:r w:rsidRPr="000D71EF">
              <w:rPr>
                <w:kern w:val="1"/>
              </w:rPr>
              <w:t xml:space="preserve"> Press, 2015.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</w:pPr>
            <w:r w:rsidRPr="000D71EF">
              <w:rPr>
                <w:b/>
                <w:bCs/>
              </w:rPr>
              <w:lastRenderedPageBreak/>
              <w:t>Jazyk, ktorého znalosť je potrebná na absolvovanie predmetu:</w:t>
            </w:r>
            <w:r w:rsidRPr="000D71EF">
              <w:t xml:space="preserve"> </w:t>
            </w:r>
            <w:r w:rsidRPr="000D71EF">
              <w:rPr>
                <w:iCs/>
              </w:rPr>
              <w:t>anglický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 xml:space="preserve">Poznámky: 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>Hodnotenie predmetov</w:t>
            </w:r>
          </w:p>
          <w:p w:rsidR="00431AF9" w:rsidRPr="000D71EF" w:rsidRDefault="00431AF9" w:rsidP="00C7192C">
            <w:pPr>
              <w:spacing w:after="0"/>
            </w:pPr>
            <w:r w:rsidRPr="000D71EF">
              <w:t xml:space="preserve">Celkový počet hodnotených študentov: 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496"/>
              <w:gridCol w:w="1496"/>
              <w:gridCol w:w="1496"/>
              <w:gridCol w:w="1496"/>
              <w:gridCol w:w="1496"/>
              <w:gridCol w:w="1506"/>
            </w:tblGrid>
            <w:tr w:rsidR="00431AF9" w:rsidRPr="000D71EF" w:rsidTr="00617909">
              <w:tc>
                <w:tcPr>
                  <w:tcW w:w="1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E</w:t>
                  </w:r>
                </w:p>
              </w:tc>
              <w:tc>
                <w:tcPr>
                  <w:tcW w:w="1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  <w:jc w:val="center"/>
                  </w:pPr>
                  <w:r w:rsidRPr="000D71EF">
                    <w:t>FX</w:t>
                  </w:r>
                </w:p>
              </w:tc>
            </w:tr>
            <w:tr w:rsidR="00431AF9" w:rsidRPr="000D71EF" w:rsidTr="00617909">
              <w:trPr>
                <w:trHeight w:val="300"/>
              </w:trPr>
              <w:tc>
                <w:tcPr>
                  <w:tcW w:w="1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  <w:tc>
                <w:tcPr>
                  <w:tcW w:w="1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1AF9" w:rsidRPr="000D71EF" w:rsidRDefault="00431AF9" w:rsidP="00C7192C">
                  <w:pPr>
                    <w:spacing w:after="0"/>
                  </w:pPr>
                </w:p>
              </w:tc>
            </w:tr>
          </w:tbl>
          <w:p w:rsidR="00431AF9" w:rsidRPr="000D71EF" w:rsidRDefault="00431AF9" w:rsidP="00C7192C">
            <w:pPr>
              <w:spacing w:after="0"/>
            </w:pP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22493F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 xml:space="preserve">Vyučujúci: </w:t>
            </w:r>
            <w:r w:rsidR="00431AF9" w:rsidRPr="000D71EF">
              <w:rPr>
                <w:iCs/>
              </w:rPr>
              <w:t xml:space="preserve">doc. JUDr. Peter </w:t>
            </w:r>
            <w:proofErr w:type="spellStart"/>
            <w:r w:rsidR="00431AF9" w:rsidRPr="000D71EF">
              <w:rPr>
                <w:iCs/>
              </w:rPr>
              <w:t>Vršanský</w:t>
            </w:r>
            <w:proofErr w:type="spellEnd"/>
            <w:r w:rsidR="00431AF9" w:rsidRPr="000D71EF">
              <w:rPr>
                <w:iCs/>
              </w:rPr>
              <w:t xml:space="preserve">, CSc., Mgr. Soňa </w:t>
            </w:r>
            <w:proofErr w:type="spellStart"/>
            <w:r w:rsidR="00431AF9" w:rsidRPr="000D71EF">
              <w:rPr>
                <w:iCs/>
              </w:rPr>
              <w:t>Ondrášiková</w:t>
            </w:r>
            <w:proofErr w:type="spellEnd"/>
            <w:r w:rsidR="00431AF9" w:rsidRPr="000D71EF">
              <w:rPr>
                <w:iCs/>
              </w:rPr>
              <w:t xml:space="preserve">, Ing.  Mgr. Ondrej </w:t>
            </w:r>
            <w:proofErr w:type="spellStart"/>
            <w:r w:rsidR="00431AF9" w:rsidRPr="000D71EF">
              <w:rPr>
                <w:iCs/>
              </w:rPr>
              <w:t>Blažo</w:t>
            </w:r>
            <w:proofErr w:type="spellEnd"/>
            <w:r w:rsidR="00431AF9" w:rsidRPr="000D71EF">
              <w:rPr>
                <w:iCs/>
              </w:rPr>
              <w:t>, PhD., JUDr. Daniela Ježová, PhD. LLM., Mgr. Kristína Považanová</w:t>
            </w:r>
            <w:r w:rsidR="005D0D82" w:rsidRPr="000D71EF">
              <w:rPr>
                <w:iCs/>
              </w:rPr>
              <w:t xml:space="preserve">, </w:t>
            </w:r>
            <w:r w:rsidR="005D0D82" w:rsidRPr="000D71EF">
              <w:t xml:space="preserve">JUDr. Hana </w:t>
            </w:r>
            <w:proofErr w:type="spellStart"/>
            <w:r w:rsidR="005D0D82" w:rsidRPr="000D71EF">
              <w:t>Kováčiková</w:t>
            </w:r>
            <w:proofErr w:type="spellEnd"/>
            <w:r w:rsidR="005D0D82" w:rsidRPr="000D71EF">
              <w:t>, PhD.</w:t>
            </w:r>
            <w:r w:rsidR="00431AF9" w:rsidRPr="000D71EF">
              <w:rPr>
                <w:iCs/>
              </w:rPr>
              <w:t xml:space="preserve"> a ďalší členovia </w:t>
            </w:r>
            <w:proofErr w:type="spellStart"/>
            <w:r w:rsidR="00431AF9" w:rsidRPr="000D71EF">
              <w:rPr>
                <w:iCs/>
              </w:rPr>
              <w:t>KMPaMV</w:t>
            </w:r>
            <w:proofErr w:type="spellEnd"/>
            <w:r w:rsidR="00431AF9" w:rsidRPr="000D71EF">
              <w:rPr>
                <w:iCs/>
              </w:rPr>
              <w:t xml:space="preserve"> a ÚEP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 xml:space="preserve">Dátum poslednej zmeny: </w:t>
            </w:r>
          </w:p>
        </w:tc>
      </w:tr>
      <w:tr w:rsidR="00431AF9" w:rsidRPr="000D71EF" w:rsidTr="00617909">
        <w:tc>
          <w:tcPr>
            <w:tcW w:w="9212" w:type="dxa"/>
            <w:gridSpan w:val="2"/>
          </w:tcPr>
          <w:p w:rsidR="00431AF9" w:rsidRPr="000D71EF" w:rsidRDefault="00431AF9" w:rsidP="00C7192C">
            <w:pPr>
              <w:spacing w:after="0"/>
              <w:rPr>
                <w:b/>
                <w:bCs/>
              </w:rPr>
            </w:pPr>
            <w:r w:rsidRPr="000D71EF">
              <w:rPr>
                <w:b/>
                <w:bCs/>
              </w:rPr>
              <w:t>Schválil:</w:t>
            </w:r>
            <w:r w:rsidRPr="000D71EF">
              <w:t xml:space="preserve"> </w:t>
            </w:r>
          </w:p>
        </w:tc>
      </w:tr>
    </w:tbl>
    <w:p w:rsidR="00AD0683" w:rsidRPr="000D71EF" w:rsidRDefault="00AD0683" w:rsidP="00C7192C">
      <w:pPr>
        <w:spacing w:after="0"/>
        <w:jc w:val="both"/>
      </w:pPr>
    </w:p>
    <w:sectPr w:rsidR="00AD0683" w:rsidRPr="000D71EF" w:rsidSect="008358D1">
      <w:headerReference w:type="default" r:id="rId25"/>
      <w:footerReference w:type="default" r:id="rId26"/>
      <w:footerReference w:type="first" r:id="rId27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1A5" w:rsidRDefault="007B51A5" w:rsidP="006043E6">
      <w:r>
        <w:separator/>
      </w:r>
    </w:p>
  </w:endnote>
  <w:endnote w:type="continuationSeparator" w:id="0">
    <w:p w:rsidR="007B51A5" w:rsidRDefault="007B51A5" w:rsidP="0060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B1C" w:rsidRDefault="00596B1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E946A9">
      <w:rPr>
        <w:noProof/>
      </w:rPr>
      <w:t>2</w:t>
    </w:r>
    <w:r>
      <w:rPr>
        <w:noProof/>
      </w:rPr>
      <w:fldChar w:fldCharType="end"/>
    </w:r>
  </w:p>
  <w:p w:rsidR="00596B1C" w:rsidRDefault="00596B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B1C" w:rsidRDefault="00596B1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E946A9">
      <w:rPr>
        <w:noProof/>
      </w:rPr>
      <w:t>1</w:t>
    </w:r>
    <w:r>
      <w:rPr>
        <w:noProof/>
      </w:rPr>
      <w:fldChar w:fldCharType="end"/>
    </w:r>
  </w:p>
  <w:p w:rsidR="00596B1C" w:rsidRDefault="00596B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1A5" w:rsidRDefault="007B51A5" w:rsidP="006043E6">
      <w:r>
        <w:separator/>
      </w:r>
    </w:p>
  </w:footnote>
  <w:footnote w:type="continuationSeparator" w:id="0">
    <w:p w:rsidR="007B51A5" w:rsidRDefault="007B51A5" w:rsidP="00604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B1C" w:rsidRDefault="00596B1C">
    <w:pPr>
      <w:pStyle w:val="Header"/>
    </w:pPr>
  </w:p>
  <w:p w:rsidR="00596B1C" w:rsidRDefault="00596B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7D4"/>
    <w:multiLevelType w:val="hybridMultilevel"/>
    <w:tmpl w:val="FE269A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C0158"/>
    <w:multiLevelType w:val="hybridMultilevel"/>
    <w:tmpl w:val="3932A62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5E184F"/>
    <w:multiLevelType w:val="hybridMultilevel"/>
    <w:tmpl w:val="6A8A97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64390"/>
    <w:multiLevelType w:val="hybridMultilevel"/>
    <w:tmpl w:val="5A3E8F2E"/>
    <w:lvl w:ilvl="0" w:tplc="2CB0DF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EC3F95"/>
    <w:multiLevelType w:val="hybridMultilevel"/>
    <w:tmpl w:val="169E22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F30F2"/>
    <w:multiLevelType w:val="hybridMultilevel"/>
    <w:tmpl w:val="BED2F468"/>
    <w:lvl w:ilvl="0" w:tplc="041B000F">
      <w:start w:val="1"/>
      <w:numFmt w:val="decimal"/>
      <w:lvlText w:val="%1."/>
      <w:lvlJc w:val="left"/>
      <w:pPr>
        <w:tabs>
          <w:tab w:val="num" w:pos="-776"/>
        </w:tabs>
        <w:ind w:left="-776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-56"/>
        </w:tabs>
        <w:ind w:left="-56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664"/>
        </w:tabs>
        <w:ind w:left="66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1384"/>
        </w:tabs>
        <w:ind w:left="138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2104"/>
        </w:tabs>
        <w:ind w:left="2104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2824"/>
        </w:tabs>
        <w:ind w:left="282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3544"/>
        </w:tabs>
        <w:ind w:left="354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4264"/>
        </w:tabs>
        <w:ind w:left="4264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4984"/>
        </w:tabs>
        <w:ind w:left="4984" w:hanging="360"/>
      </w:pPr>
      <w:rPr>
        <w:rFonts w:ascii="Wingdings" w:hAnsi="Wingdings" w:hint="default"/>
      </w:rPr>
    </w:lvl>
  </w:abstractNum>
  <w:abstractNum w:abstractNumId="6">
    <w:nsid w:val="12F74A37"/>
    <w:multiLevelType w:val="multilevel"/>
    <w:tmpl w:val="E3166B80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hint="default"/>
        <w:sz w:val="20"/>
        <w:lang w:val="sk-SK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7">
    <w:nsid w:val="16817EE8"/>
    <w:multiLevelType w:val="hybridMultilevel"/>
    <w:tmpl w:val="FEF0E9C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761FC"/>
    <w:multiLevelType w:val="hybridMultilevel"/>
    <w:tmpl w:val="BEECEED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7209F4"/>
    <w:multiLevelType w:val="hybridMultilevel"/>
    <w:tmpl w:val="15BC40A6"/>
    <w:lvl w:ilvl="0" w:tplc="813EA6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/>
        <w:i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4D15D7"/>
    <w:multiLevelType w:val="hybridMultilevel"/>
    <w:tmpl w:val="A10E25CE"/>
    <w:lvl w:ilvl="0" w:tplc="869801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934C0F"/>
    <w:multiLevelType w:val="hybridMultilevel"/>
    <w:tmpl w:val="515453BA"/>
    <w:lvl w:ilvl="0" w:tplc="041B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EB186D"/>
    <w:multiLevelType w:val="hybridMultilevel"/>
    <w:tmpl w:val="C70A607A"/>
    <w:lvl w:ilvl="0" w:tplc="1F184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C65985"/>
    <w:multiLevelType w:val="hybridMultilevel"/>
    <w:tmpl w:val="BED2F468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1800CE"/>
    <w:multiLevelType w:val="hybridMultilevel"/>
    <w:tmpl w:val="AE2C7D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A3BE5"/>
    <w:multiLevelType w:val="hybridMultilevel"/>
    <w:tmpl w:val="2960B8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DE62BE"/>
    <w:multiLevelType w:val="hybridMultilevel"/>
    <w:tmpl w:val="B1465496"/>
    <w:lvl w:ilvl="0" w:tplc="D5E89C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27BDB"/>
    <w:multiLevelType w:val="hybridMultilevel"/>
    <w:tmpl w:val="15BC40A6"/>
    <w:lvl w:ilvl="0" w:tplc="813EA6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/>
        <w:i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804F2F"/>
    <w:multiLevelType w:val="hybridMultilevel"/>
    <w:tmpl w:val="C8447F10"/>
    <w:lvl w:ilvl="0" w:tplc="467A1D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2FD2585"/>
    <w:multiLevelType w:val="hybridMultilevel"/>
    <w:tmpl w:val="EB78FA2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2C6F5F"/>
    <w:multiLevelType w:val="hybridMultilevel"/>
    <w:tmpl w:val="7804BEEA"/>
    <w:lvl w:ilvl="0" w:tplc="27729102">
      <w:start w:val="1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353F1A"/>
    <w:multiLevelType w:val="hybridMultilevel"/>
    <w:tmpl w:val="FA7AD7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F2EAF"/>
    <w:multiLevelType w:val="hybridMultilevel"/>
    <w:tmpl w:val="67EC5BA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C257951"/>
    <w:multiLevelType w:val="hybridMultilevel"/>
    <w:tmpl w:val="C576CD9E"/>
    <w:lvl w:ilvl="0" w:tplc="493855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D323C6D"/>
    <w:multiLevelType w:val="hybridMultilevel"/>
    <w:tmpl w:val="5164C4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827CE7"/>
    <w:multiLevelType w:val="hybridMultilevel"/>
    <w:tmpl w:val="F53C934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96734F"/>
    <w:multiLevelType w:val="hybridMultilevel"/>
    <w:tmpl w:val="C73E49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E89C8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912FD7"/>
    <w:multiLevelType w:val="hybridMultilevel"/>
    <w:tmpl w:val="06A64898"/>
    <w:lvl w:ilvl="0" w:tplc="D5E89C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957903"/>
    <w:multiLevelType w:val="hybridMultilevel"/>
    <w:tmpl w:val="0326375E"/>
    <w:lvl w:ilvl="0" w:tplc="D5E89C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A14B5C"/>
    <w:multiLevelType w:val="hybridMultilevel"/>
    <w:tmpl w:val="67EC5BA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E511C6C"/>
    <w:multiLevelType w:val="hybridMultilevel"/>
    <w:tmpl w:val="75F603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2C6429"/>
    <w:multiLevelType w:val="hybridMultilevel"/>
    <w:tmpl w:val="7BAE2E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6519DF"/>
    <w:multiLevelType w:val="hybridMultilevel"/>
    <w:tmpl w:val="69848B6A"/>
    <w:lvl w:ilvl="0" w:tplc="E64EFC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D90A07"/>
    <w:multiLevelType w:val="hybridMultilevel"/>
    <w:tmpl w:val="515453BA"/>
    <w:lvl w:ilvl="0" w:tplc="041B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7A0183"/>
    <w:multiLevelType w:val="hybridMultilevel"/>
    <w:tmpl w:val="BEECEED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D385480"/>
    <w:multiLevelType w:val="hybridMultilevel"/>
    <w:tmpl w:val="3FA89AAA"/>
    <w:lvl w:ilvl="0" w:tplc="5DAC1EBA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EA3E62"/>
    <w:multiLevelType w:val="hybridMultilevel"/>
    <w:tmpl w:val="C33C5C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40152"/>
    <w:multiLevelType w:val="hybridMultilevel"/>
    <w:tmpl w:val="AD1CA362"/>
    <w:lvl w:ilvl="0" w:tplc="8C6EE6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6475958"/>
    <w:multiLevelType w:val="hybridMultilevel"/>
    <w:tmpl w:val="8302715E"/>
    <w:lvl w:ilvl="0" w:tplc="D5E89C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74022A9"/>
    <w:multiLevelType w:val="hybridMultilevel"/>
    <w:tmpl w:val="169E22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6F60E3"/>
    <w:multiLevelType w:val="hybridMultilevel"/>
    <w:tmpl w:val="0D12C9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8E53A1"/>
    <w:multiLevelType w:val="hybridMultilevel"/>
    <w:tmpl w:val="078E171C"/>
    <w:lvl w:ilvl="0" w:tplc="32C298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AA1EC3"/>
    <w:multiLevelType w:val="hybridMultilevel"/>
    <w:tmpl w:val="D25CB86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9"/>
  </w:num>
  <w:num w:numId="3">
    <w:abstractNumId w:val="11"/>
  </w:num>
  <w:num w:numId="4">
    <w:abstractNumId w:val="4"/>
  </w:num>
  <w:num w:numId="5">
    <w:abstractNumId w:val="15"/>
  </w:num>
  <w:num w:numId="6">
    <w:abstractNumId w:val="22"/>
  </w:num>
  <w:num w:numId="7">
    <w:abstractNumId w:val="33"/>
  </w:num>
  <w:num w:numId="8">
    <w:abstractNumId w:val="1"/>
  </w:num>
  <w:num w:numId="9">
    <w:abstractNumId w:val="5"/>
  </w:num>
  <w:num w:numId="10">
    <w:abstractNumId w:val="13"/>
  </w:num>
  <w:num w:numId="11">
    <w:abstractNumId w:val="18"/>
  </w:num>
  <w:num w:numId="12">
    <w:abstractNumId w:val="7"/>
  </w:num>
  <w:num w:numId="13">
    <w:abstractNumId w:val="40"/>
  </w:num>
  <w:num w:numId="14">
    <w:abstractNumId w:val="30"/>
  </w:num>
  <w:num w:numId="15">
    <w:abstractNumId w:val="34"/>
  </w:num>
  <w:num w:numId="16">
    <w:abstractNumId w:val="8"/>
  </w:num>
  <w:num w:numId="17">
    <w:abstractNumId w:val="38"/>
  </w:num>
  <w:num w:numId="18">
    <w:abstractNumId w:val="12"/>
  </w:num>
  <w:num w:numId="19">
    <w:abstractNumId w:val="9"/>
  </w:num>
  <w:num w:numId="20">
    <w:abstractNumId w:val="21"/>
  </w:num>
  <w:num w:numId="21">
    <w:abstractNumId w:val="28"/>
  </w:num>
  <w:num w:numId="22">
    <w:abstractNumId w:val="6"/>
  </w:num>
  <w:num w:numId="23">
    <w:abstractNumId w:val="41"/>
  </w:num>
  <w:num w:numId="24">
    <w:abstractNumId w:val="25"/>
  </w:num>
  <w:num w:numId="25">
    <w:abstractNumId w:val="23"/>
  </w:num>
  <w:num w:numId="26">
    <w:abstractNumId w:val="37"/>
  </w:num>
  <w:num w:numId="27">
    <w:abstractNumId w:val="14"/>
  </w:num>
  <w:num w:numId="28">
    <w:abstractNumId w:val="2"/>
  </w:num>
  <w:num w:numId="29">
    <w:abstractNumId w:val="10"/>
  </w:num>
  <w:num w:numId="30">
    <w:abstractNumId w:val="35"/>
  </w:num>
  <w:num w:numId="31">
    <w:abstractNumId w:val="17"/>
  </w:num>
  <w:num w:numId="32">
    <w:abstractNumId w:val="24"/>
  </w:num>
  <w:num w:numId="33">
    <w:abstractNumId w:val="19"/>
  </w:num>
  <w:num w:numId="34">
    <w:abstractNumId w:val="42"/>
  </w:num>
  <w:num w:numId="35">
    <w:abstractNumId w:val="36"/>
  </w:num>
  <w:num w:numId="36">
    <w:abstractNumId w:val="0"/>
  </w:num>
  <w:num w:numId="37">
    <w:abstractNumId w:val="4"/>
  </w:num>
  <w:num w:numId="38">
    <w:abstractNumId w:val="32"/>
  </w:num>
  <w:num w:numId="39">
    <w:abstractNumId w:val="3"/>
  </w:num>
  <w:num w:numId="40">
    <w:abstractNumId w:val="26"/>
  </w:num>
  <w:num w:numId="41">
    <w:abstractNumId w:val="39"/>
  </w:num>
  <w:num w:numId="42">
    <w:abstractNumId w:val="27"/>
  </w:num>
  <w:num w:numId="43">
    <w:abstractNumId w:val="31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85"/>
    <w:rsid w:val="00000DD8"/>
    <w:rsid w:val="0000213C"/>
    <w:rsid w:val="00004CEC"/>
    <w:rsid w:val="00004D36"/>
    <w:rsid w:val="0000581E"/>
    <w:rsid w:val="000063AC"/>
    <w:rsid w:val="00012A2C"/>
    <w:rsid w:val="00014620"/>
    <w:rsid w:val="00015148"/>
    <w:rsid w:val="000212C4"/>
    <w:rsid w:val="000226E8"/>
    <w:rsid w:val="00023C00"/>
    <w:rsid w:val="00024A9B"/>
    <w:rsid w:val="0002679C"/>
    <w:rsid w:val="00033789"/>
    <w:rsid w:val="00033FC4"/>
    <w:rsid w:val="000343ED"/>
    <w:rsid w:val="00034DC7"/>
    <w:rsid w:val="00040752"/>
    <w:rsid w:val="00041669"/>
    <w:rsid w:val="00042B09"/>
    <w:rsid w:val="00043BA3"/>
    <w:rsid w:val="00044410"/>
    <w:rsid w:val="000465E5"/>
    <w:rsid w:val="00046693"/>
    <w:rsid w:val="00046715"/>
    <w:rsid w:val="00046C2E"/>
    <w:rsid w:val="0004756B"/>
    <w:rsid w:val="00052A92"/>
    <w:rsid w:val="00057267"/>
    <w:rsid w:val="0005751C"/>
    <w:rsid w:val="00062B2D"/>
    <w:rsid w:val="00063A1B"/>
    <w:rsid w:val="00070D78"/>
    <w:rsid w:val="00072EAD"/>
    <w:rsid w:val="000734AA"/>
    <w:rsid w:val="00075CE9"/>
    <w:rsid w:val="00076806"/>
    <w:rsid w:val="0007778A"/>
    <w:rsid w:val="0008171C"/>
    <w:rsid w:val="00082A06"/>
    <w:rsid w:val="000864A0"/>
    <w:rsid w:val="000918DD"/>
    <w:rsid w:val="00092AB3"/>
    <w:rsid w:val="00094361"/>
    <w:rsid w:val="00097875"/>
    <w:rsid w:val="000A12EB"/>
    <w:rsid w:val="000A1675"/>
    <w:rsid w:val="000A2B69"/>
    <w:rsid w:val="000A5FEA"/>
    <w:rsid w:val="000A7A53"/>
    <w:rsid w:val="000B04DE"/>
    <w:rsid w:val="000B4577"/>
    <w:rsid w:val="000B4607"/>
    <w:rsid w:val="000B5125"/>
    <w:rsid w:val="000B513C"/>
    <w:rsid w:val="000B571D"/>
    <w:rsid w:val="000B5943"/>
    <w:rsid w:val="000B653E"/>
    <w:rsid w:val="000C0824"/>
    <w:rsid w:val="000C5598"/>
    <w:rsid w:val="000C6EC1"/>
    <w:rsid w:val="000D0F66"/>
    <w:rsid w:val="000D1381"/>
    <w:rsid w:val="000D23B4"/>
    <w:rsid w:val="000D2DF2"/>
    <w:rsid w:val="000D3790"/>
    <w:rsid w:val="000D3FCB"/>
    <w:rsid w:val="000D49C2"/>
    <w:rsid w:val="000D5505"/>
    <w:rsid w:val="000D584E"/>
    <w:rsid w:val="000D609F"/>
    <w:rsid w:val="000D71EF"/>
    <w:rsid w:val="000D7698"/>
    <w:rsid w:val="000E2A78"/>
    <w:rsid w:val="000E2BF7"/>
    <w:rsid w:val="000E560F"/>
    <w:rsid w:val="000E5A38"/>
    <w:rsid w:val="000E6706"/>
    <w:rsid w:val="000E7684"/>
    <w:rsid w:val="000F1203"/>
    <w:rsid w:val="000F4646"/>
    <w:rsid w:val="000F59A9"/>
    <w:rsid w:val="000F77E0"/>
    <w:rsid w:val="000F7BBB"/>
    <w:rsid w:val="0010178A"/>
    <w:rsid w:val="001064DB"/>
    <w:rsid w:val="00106A9E"/>
    <w:rsid w:val="00107483"/>
    <w:rsid w:val="00107981"/>
    <w:rsid w:val="0011044E"/>
    <w:rsid w:val="0011156D"/>
    <w:rsid w:val="00111580"/>
    <w:rsid w:val="00111D5A"/>
    <w:rsid w:val="00113439"/>
    <w:rsid w:val="00114C7C"/>
    <w:rsid w:val="00115337"/>
    <w:rsid w:val="0011682F"/>
    <w:rsid w:val="0011749A"/>
    <w:rsid w:val="00120F17"/>
    <w:rsid w:val="00123B6A"/>
    <w:rsid w:val="0012559A"/>
    <w:rsid w:val="00125841"/>
    <w:rsid w:val="00125FC3"/>
    <w:rsid w:val="00127CF2"/>
    <w:rsid w:val="001313D8"/>
    <w:rsid w:val="00132DB0"/>
    <w:rsid w:val="0013370C"/>
    <w:rsid w:val="00134C0A"/>
    <w:rsid w:val="001363AF"/>
    <w:rsid w:val="00136606"/>
    <w:rsid w:val="0013695C"/>
    <w:rsid w:val="001378E4"/>
    <w:rsid w:val="0014001C"/>
    <w:rsid w:val="00140FF3"/>
    <w:rsid w:val="00141903"/>
    <w:rsid w:val="00143C8E"/>
    <w:rsid w:val="00143CF9"/>
    <w:rsid w:val="0015348F"/>
    <w:rsid w:val="00153C79"/>
    <w:rsid w:val="00155CC1"/>
    <w:rsid w:val="00155CCF"/>
    <w:rsid w:val="00155DE8"/>
    <w:rsid w:val="00155F05"/>
    <w:rsid w:val="001602C6"/>
    <w:rsid w:val="00160A88"/>
    <w:rsid w:val="00160EF4"/>
    <w:rsid w:val="00162E51"/>
    <w:rsid w:val="00163DD9"/>
    <w:rsid w:val="0016585A"/>
    <w:rsid w:val="001702D5"/>
    <w:rsid w:val="00175C9A"/>
    <w:rsid w:val="0017604D"/>
    <w:rsid w:val="0017672B"/>
    <w:rsid w:val="00176AD8"/>
    <w:rsid w:val="001774AB"/>
    <w:rsid w:val="001776B8"/>
    <w:rsid w:val="0017788A"/>
    <w:rsid w:val="0018091D"/>
    <w:rsid w:val="00182B4A"/>
    <w:rsid w:val="0018614D"/>
    <w:rsid w:val="001913A7"/>
    <w:rsid w:val="0019203B"/>
    <w:rsid w:val="00193C9F"/>
    <w:rsid w:val="00194EA6"/>
    <w:rsid w:val="001A6034"/>
    <w:rsid w:val="001B16E2"/>
    <w:rsid w:val="001B3743"/>
    <w:rsid w:val="001B3F04"/>
    <w:rsid w:val="001B7487"/>
    <w:rsid w:val="001C030D"/>
    <w:rsid w:val="001C0994"/>
    <w:rsid w:val="001C2046"/>
    <w:rsid w:val="001C2422"/>
    <w:rsid w:val="001C2FB2"/>
    <w:rsid w:val="001C614B"/>
    <w:rsid w:val="001C6229"/>
    <w:rsid w:val="001C623B"/>
    <w:rsid w:val="001D11C3"/>
    <w:rsid w:val="001D4AF2"/>
    <w:rsid w:val="001D5B4B"/>
    <w:rsid w:val="001D64ED"/>
    <w:rsid w:val="001D7025"/>
    <w:rsid w:val="001E23DA"/>
    <w:rsid w:val="001E3A52"/>
    <w:rsid w:val="001E4E1F"/>
    <w:rsid w:val="001E4EC9"/>
    <w:rsid w:val="001E6903"/>
    <w:rsid w:val="001E70ED"/>
    <w:rsid w:val="001E7392"/>
    <w:rsid w:val="001E752F"/>
    <w:rsid w:val="001F1926"/>
    <w:rsid w:val="001F3CEF"/>
    <w:rsid w:val="001F4C84"/>
    <w:rsid w:val="001F4DA9"/>
    <w:rsid w:val="001F61C4"/>
    <w:rsid w:val="001F72E2"/>
    <w:rsid w:val="001F7311"/>
    <w:rsid w:val="001F740A"/>
    <w:rsid w:val="0020191B"/>
    <w:rsid w:val="00201AD4"/>
    <w:rsid w:val="00202444"/>
    <w:rsid w:val="00203394"/>
    <w:rsid w:val="00205C9B"/>
    <w:rsid w:val="00210735"/>
    <w:rsid w:val="0021159A"/>
    <w:rsid w:val="0021243A"/>
    <w:rsid w:val="002156C3"/>
    <w:rsid w:val="002174DB"/>
    <w:rsid w:val="00220143"/>
    <w:rsid w:val="00220444"/>
    <w:rsid w:val="0022493F"/>
    <w:rsid w:val="00224C50"/>
    <w:rsid w:val="002264B0"/>
    <w:rsid w:val="002270BB"/>
    <w:rsid w:val="00227391"/>
    <w:rsid w:val="0022768B"/>
    <w:rsid w:val="00227AE1"/>
    <w:rsid w:val="00231006"/>
    <w:rsid w:val="00232AEF"/>
    <w:rsid w:val="00233BD4"/>
    <w:rsid w:val="002344A3"/>
    <w:rsid w:val="00235CBA"/>
    <w:rsid w:val="00237065"/>
    <w:rsid w:val="002435E8"/>
    <w:rsid w:val="00243664"/>
    <w:rsid w:val="00243FB4"/>
    <w:rsid w:val="00244A25"/>
    <w:rsid w:val="00245594"/>
    <w:rsid w:val="00251AA7"/>
    <w:rsid w:val="0025309D"/>
    <w:rsid w:val="002538EA"/>
    <w:rsid w:val="0025433B"/>
    <w:rsid w:val="002548B5"/>
    <w:rsid w:val="00254931"/>
    <w:rsid w:val="00257A7F"/>
    <w:rsid w:val="00257E2E"/>
    <w:rsid w:val="0026196F"/>
    <w:rsid w:val="00262C54"/>
    <w:rsid w:val="002640E1"/>
    <w:rsid w:val="002643C5"/>
    <w:rsid w:val="002650BA"/>
    <w:rsid w:val="002704BD"/>
    <w:rsid w:val="0027065E"/>
    <w:rsid w:val="002739A6"/>
    <w:rsid w:val="002740AB"/>
    <w:rsid w:val="00274F36"/>
    <w:rsid w:val="00276115"/>
    <w:rsid w:val="0027637F"/>
    <w:rsid w:val="00280B07"/>
    <w:rsid w:val="00281292"/>
    <w:rsid w:val="00281600"/>
    <w:rsid w:val="00283945"/>
    <w:rsid w:val="00283BDA"/>
    <w:rsid w:val="00290428"/>
    <w:rsid w:val="00294EE1"/>
    <w:rsid w:val="00295060"/>
    <w:rsid w:val="00295184"/>
    <w:rsid w:val="00295613"/>
    <w:rsid w:val="00297C42"/>
    <w:rsid w:val="002A0C79"/>
    <w:rsid w:val="002A12DF"/>
    <w:rsid w:val="002A2A76"/>
    <w:rsid w:val="002A3F64"/>
    <w:rsid w:val="002A5B48"/>
    <w:rsid w:val="002A6AA6"/>
    <w:rsid w:val="002B4446"/>
    <w:rsid w:val="002C0073"/>
    <w:rsid w:val="002C00BD"/>
    <w:rsid w:val="002C1899"/>
    <w:rsid w:val="002C280A"/>
    <w:rsid w:val="002C6423"/>
    <w:rsid w:val="002D1E5E"/>
    <w:rsid w:val="002D2E2F"/>
    <w:rsid w:val="002D47A0"/>
    <w:rsid w:val="002D6A94"/>
    <w:rsid w:val="002E19E4"/>
    <w:rsid w:val="002E27B6"/>
    <w:rsid w:val="002E290F"/>
    <w:rsid w:val="002E5566"/>
    <w:rsid w:val="002F0540"/>
    <w:rsid w:val="002F1058"/>
    <w:rsid w:val="002F12C7"/>
    <w:rsid w:val="002F1BAA"/>
    <w:rsid w:val="002F216E"/>
    <w:rsid w:val="002F4674"/>
    <w:rsid w:val="002F4EA8"/>
    <w:rsid w:val="002F6AB1"/>
    <w:rsid w:val="002F768F"/>
    <w:rsid w:val="002F7C6D"/>
    <w:rsid w:val="002F7CBB"/>
    <w:rsid w:val="002F7DE2"/>
    <w:rsid w:val="00300069"/>
    <w:rsid w:val="00300431"/>
    <w:rsid w:val="00303367"/>
    <w:rsid w:val="003055BA"/>
    <w:rsid w:val="003063D9"/>
    <w:rsid w:val="00306FB8"/>
    <w:rsid w:val="00307DB1"/>
    <w:rsid w:val="003105F6"/>
    <w:rsid w:val="00310CEF"/>
    <w:rsid w:val="00310CF8"/>
    <w:rsid w:val="00311C53"/>
    <w:rsid w:val="00312E1D"/>
    <w:rsid w:val="00312E20"/>
    <w:rsid w:val="003137F8"/>
    <w:rsid w:val="003141AE"/>
    <w:rsid w:val="0031659F"/>
    <w:rsid w:val="003172CB"/>
    <w:rsid w:val="003178DE"/>
    <w:rsid w:val="00320953"/>
    <w:rsid w:val="003211A0"/>
    <w:rsid w:val="00322314"/>
    <w:rsid w:val="0032580A"/>
    <w:rsid w:val="00325EEE"/>
    <w:rsid w:val="00327BBA"/>
    <w:rsid w:val="00330272"/>
    <w:rsid w:val="0033210A"/>
    <w:rsid w:val="003321C0"/>
    <w:rsid w:val="003325C1"/>
    <w:rsid w:val="003325EE"/>
    <w:rsid w:val="0033274B"/>
    <w:rsid w:val="00335AED"/>
    <w:rsid w:val="003413A7"/>
    <w:rsid w:val="003424F1"/>
    <w:rsid w:val="0034261B"/>
    <w:rsid w:val="00346C82"/>
    <w:rsid w:val="00347B9E"/>
    <w:rsid w:val="00351247"/>
    <w:rsid w:val="0035203A"/>
    <w:rsid w:val="00352533"/>
    <w:rsid w:val="00352956"/>
    <w:rsid w:val="00355661"/>
    <w:rsid w:val="00356341"/>
    <w:rsid w:val="00356E77"/>
    <w:rsid w:val="00357357"/>
    <w:rsid w:val="00360921"/>
    <w:rsid w:val="00361238"/>
    <w:rsid w:val="003638EE"/>
    <w:rsid w:val="00363C79"/>
    <w:rsid w:val="0036568A"/>
    <w:rsid w:val="00365D40"/>
    <w:rsid w:val="0037038C"/>
    <w:rsid w:val="003705A0"/>
    <w:rsid w:val="003712D4"/>
    <w:rsid w:val="00371E56"/>
    <w:rsid w:val="00372DE0"/>
    <w:rsid w:val="00374C9A"/>
    <w:rsid w:val="00375938"/>
    <w:rsid w:val="00375AE9"/>
    <w:rsid w:val="0037715D"/>
    <w:rsid w:val="003779BE"/>
    <w:rsid w:val="003801BB"/>
    <w:rsid w:val="003803FF"/>
    <w:rsid w:val="00382BAD"/>
    <w:rsid w:val="00382D3E"/>
    <w:rsid w:val="00383BAB"/>
    <w:rsid w:val="00384B8F"/>
    <w:rsid w:val="0038552A"/>
    <w:rsid w:val="00385ADE"/>
    <w:rsid w:val="00385C22"/>
    <w:rsid w:val="0038731C"/>
    <w:rsid w:val="00387668"/>
    <w:rsid w:val="00387A76"/>
    <w:rsid w:val="003919B7"/>
    <w:rsid w:val="00392E6C"/>
    <w:rsid w:val="003935B8"/>
    <w:rsid w:val="0039385A"/>
    <w:rsid w:val="00394640"/>
    <w:rsid w:val="00395736"/>
    <w:rsid w:val="003A27FC"/>
    <w:rsid w:val="003A4A69"/>
    <w:rsid w:val="003A4ECA"/>
    <w:rsid w:val="003A51AA"/>
    <w:rsid w:val="003A6E3D"/>
    <w:rsid w:val="003A7CAB"/>
    <w:rsid w:val="003A7D13"/>
    <w:rsid w:val="003B03D8"/>
    <w:rsid w:val="003B0FA9"/>
    <w:rsid w:val="003B26FB"/>
    <w:rsid w:val="003B5F30"/>
    <w:rsid w:val="003B7EB6"/>
    <w:rsid w:val="003C29EF"/>
    <w:rsid w:val="003C3064"/>
    <w:rsid w:val="003C4DF6"/>
    <w:rsid w:val="003C4E8F"/>
    <w:rsid w:val="003C6BBB"/>
    <w:rsid w:val="003D00D5"/>
    <w:rsid w:val="003D07E7"/>
    <w:rsid w:val="003D1B93"/>
    <w:rsid w:val="003D49CD"/>
    <w:rsid w:val="003E0BB2"/>
    <w:rsid w:val="003E5101"/>
    <w:rsid w:val="003E7C8E"/>
    <w:rsid w:val="003F06C5"/>
    <w:rsid w:val="003F12CE"/>
    <w:rsid w:val="003F1E45"/>
    <w:rsid w:val="003F1E8E"/>
    <w:rsid w:val="003F22E3"/>
    <w:rsid w:val="003F6565"/>
    <w:rsid w:val="003F65DF"/>
    <w:rsid w:val="00400D7E"/>
    <w:rsid w:val="0040151C"/>
    <w:rsid w:val="00402CB2"/>
    <w:rsid w:val="00402EA7"/>
    <w:rsid w:val="004030D4"/>
    <w:rsid w:val="00405BCD"/>
    <w:rsid w:val="004060D7"/>
    <w:rsid w:val="004061DE"/>
    <w:rsid w:val="004107D9"/>
    <w:rsid w:val="00410CEC"/>
    <w:rsid w:val="0041223A"/>
    <w:rsid w:val="00412834"/>
    <w:rsid w:val="004145DF"/>
    <w:rsid w:val="00416393"/>
    <w:rsid w:val="00424B6C"/>
    <w:rsid w:val="00425B4E"/>
    <w:rsid w:val="004266A7"/>
    <w:rsid w:val="00426D1A"/>
    <w:rsid w:val="00426D8B"/>
    <w:rsid w:val="00430D6A"/>
    <w:rsid w:val="0043187E"/>
    <w:rsid w:val="00431AF9"/>
    <w:rsid w:val="00432A5B"/>
    <w:rsid w:val="00432C69"/>
    <w:rsid w:val="004345AD"/>
    <w:rsid w:val="0043463B"/>
    <w:rsid w:val="004346CA"/>
    <w:rsid w:val="00434968"/>
    <w:rsid w:val="00434FE2"/>
    <w:rsid w:val="0043665F"/>
    <w:rsid w:val="00436D8E"/>
    <w:rsid w:val="00442926"/>
    <w:rsid w:val="004449AE"/>
    <w:rsid w:val="0044515B"/>
    <w:rsid w:val="00447119"/>
    <w:rsid w:val="004476D7"/>
    <w:rsid w:val="00447E39"/>
    <w:rsid w:val="004506EE"/>
    <w:rsid w:val="00450C40"/>
    <w:rsid w:val="00450D20"/>
    <w:rsid w:val="00451176"/>
    <w:rsid w:val="00452797"/>
    <w:rsid w:val="00453E94"/>
    <w:rsid w:val="004549D5"/>
    <w:rsid w:val="004550F9"/>
    <w:rsid w:val="004558B7"/>
    <w:rsid w:val="00455BA1"/>
    <w:rsid w:val="004568A7"/>
    <w:rsid w:val="00460849"/>
    <w:rsid w:val="00461487"/>
    <w:rsid w:val="004644E5"/>
    <w:rsid w:val="004660B6"/>
    <w:rsid w:val="00466140"/>
    <w:rsid w:val="00466497"/>
    <w:rsid w:val="004675DD"/>
    <w:rsid w:val="0047003E"/>
    <w:rsid w:val="00472BA6"/>
    <w:rsid w:val="00472BC5"/>
    <w:rsid w:val="00472D64"/>
    <w:rsid w:val="0047518A"/>
    <w:rsid w:val="00475AD5"/>
    <w:rsid w:val="00476D02"/>
    <w:rsid w:val="00476D30"/>
    <w:rsid w:val="00477895"/>
    <w:rsid w:val="00480226"/>
    <w:rsid w:val="00480361"/>
    <w:rsid w:val="00481CC2"/>
    <w:rsid w:val="00486C24"/>
    <w:rsid w:val="00486C70"/>
    <w:rsid w:val="00487AE2"/>
    <w:rsid w:val="0049059F"/>
    <w:rsid w:val="00495ED6"/>
    <w:rsid w:val="004A07B0"/>
    <w:rsid w:val="004A203A"/>
    <w:rsid w:val="004A2E2B"/>
    <w:rsid w:val="004A2E62"/>
    <w:rsid w:val="004A3EF9"/>
    <w:rsid w:val="004A7BAE"/>
    <w:rsid w:val="004B1646"/>
    <w:rsid w:val="004B2CF4"/>
    <w:rsid w:val="004B451B"/>
    <w:rsid w:val="004B49A9"/>
    <w:rsid w:val="004B4A5D"/>
    <w:rsid w:val="004B5674"/>
    <w:rsid w:val="004B6959"/>
    <w:rsid w:val="004B6FC4"/>
    <w:rsid w:val="004C0D78"/>
    <w:rsid w:val="004C2194"/>
    <w:rsid w:val="004C27DA"/>
    <w:rsid w:val="004C3AC4"/>
    <w:rsid w:val="004C406E"/>
    <w:rsid w:val="004C50E4"/>
    <w:rsid w:val="004C5B29"/>
    <w:rsid w:val="004C6314"/>
    <w:rsid w:val="004C6911"/>
    <w:rsid w:val="004C72EA"/>
    <w:rsid w:val="004C7891"/>
    <w:rsid w:val="004D5F6F"/>
    <w:rsid w:val="004D5FCB"/>
    <w:rsid w:val="004D6564"/>
    <w:rsid w:val="004E1000"/>
    <w:rsid w:val="004E2C4C"/>
    <w:rsid w:val="004E3804"/>
    <w:rsid w:val="004E3CF0"/>
    <w:rsid w:val="004E5500"/>
    <w:rsid w:val="004E6639"/>
    <w:rsid w:val="004E68EA"/>
    <w:rsid w:val="004E7F60"/>
    <w:rsid w:val="004F0073"/>
    <w:rsid w:val="004F18D8"/>
    <w:rsid w:val="004F26CE"/>
    <w:rsid w:val="004F520F"/>
    <w:rsid w:val="004F629B"/>
    <w:rsid w:val="00500A30"/>
    <w:rsid w:val="00501EED"/>
    <w:rsid w:val="00505A3C"/>
    <w:rsid w:val="005061FE"/>
    <w:rsid w:val="005076C9"/>
    <w:rsid w:val="00512199"/>
    <w:rsid w:val="0051257D"/>
    <w:rsid w:val="00512A3D"/>
    <w:rsid w:val="0051415F"/>
    <w:rsid w:val="0051461A"/>
    <w:rsid w:val="00515AB9"/>
    <w:rsid w:val="00520798"/>
    <w:rsid w:val="00523A63"/>
    <w:rsid w:val="0052480F"/>
    <w:rsid w:val="00525092"/>
    <w:rsid w:val="00527391"/>
    <w:rsid w:val="0053033B"/>
    <w:rsid w:val="005323C0"/>
    <w:rsid w:val="005324FC"/>
    <w:rsid w:val="00532AD7"/>
    <w:rsid w:val="00534B25"/>
    <w:rsid w:val="0053508B"/>
    <w:rsid w:val="005354A8"/>
    <w:rsid w:val="0053556E"/>
    <w:rsid w:val="00535821"/>
    <w:rsid w:val="00540658"/>
    <w:rsid w:val="005406DC"/>
    <w:rsid w:val="005424B3"/>
    <w:rsid w:val="00545236"/>
    <w:rsid w:val="0054548D"/>
    <w:rsid w:val="00550428"/>
    <w:rsid w:val="005519BB"/>
    <w:rsid w:val="00553FE5"/>
    <w:rsid w:val="00554865"/>
    <w:rsid w:val="00555AA7"/>
    <w:rsid w:val="00556D01"/>
    <w:rsid w:val="005579F7"/>
    <w:rsid w:val="00557B65"/>
    <w:rsid w:val="005619ED"/>
    <w:rsid w:val="00561F4C"/>
    <w:rsid w:val="00564DF9"/>
    <w:rsid w:val="00570A35"/>
    <w:rsid w:val="00571846"/>
    <w:rsid w:val="00571E65"/>
    <w:rsid w:val="00572CD0"/>
    <w:rsid w:val="00573429"/>
    <w:rsid w:val="00573524"/>
    <w:rsid w:val="00574F2D"/>
    <w:rsid w:val="00576548"/>
    <w:rsid w:val="00576AF8"/>
    <w:rsid w:val="0057780C"/>
    <w:rsid w:val="00577941"/>
    <w:rsid w:val="00583997"/>
    <w:rsid w:val="005843D3"/>
    <w:rsid w:val="0058618F"/>
    <w:rsid w:val="00586E02"/>
    <w:rsid w:val="005905E8"/>
    <w:rsid w:val="00590BB9"/>
    <w:rsid w:val="00590D30"/>
    <w:rsid w:val="00594079"/>
    <w:rsid w:val="0059427A"/>
    <w:rsid w:val="005944BD"/>
    <w:rsid w:val="00595D94"/>
    <w:rsid w:val="00595F7C"/>
    <w:rsid w:val="005961F7"/>
    <w:rsid w:val="00596720"/>
    <w:rsid w:val="00596B1C"/>
    <w:rsid w:val="00596B60"/>
    <w:rsid w:val="00597A1D"/>
    <w:rsid w:val="005A1920"/>
    <w:rsid w:val="005A2B7D"/>
    <w:rsid w:val="005A4377"/>
    <w:rsid w:val="005A4A03"/>
    <w:rsid w:val="005A4F00"/>
    <w:rsid w:val="005A5E14"/>
    <w:rsid w:val="005A68A7"/>
    <w:rsid w:val="005A6AD0"/>
    <w:rsid w:val="005A72DA"/>
    <w:rsid w:val="005B02CA"/>
    <w:rsid w:val="005B0BE5"/>
    <w:rsid w:val="005B1FE8"/>
    <w:rsid w:val="005B3AEB"/>
    <w:rsid w:val="005B4C4F"/>
    <w:rsid w:val="005B5B8C"/>
    <w:rsid w:val="005B6D98"/>
    <w:rsid w:val="005C4C57"/>
    <w:rsid w:val="005C4E37"/>
    <w:rsid w:val="005C539E"/>
    <w:rsid w:val="005C7511"/>
    <w:rsid w:val="005D0364"/>
    <w:rsid w:val="005D0B14"/>
    <w:rsid w:val="005D0D82"/>
    <w:rsid w:val="005D1227"/>
    <w:rsid w:val="005D3A68"/>
    <w:rsid w:val="005D54BD"/>
    <w:rsid w:val="005D7599"/>
    <w:rsid w:val="005E1229"/>
    <w:rsid w:val="005E1334"/>
    <w:rsid w:val="005E24C9"/>
    <w:rsid w:val="005E5529"/>
    <w:rsid w:val="005E5C7C"/>
    <w:rsid w:val="005E67A9"/>
    <w:rsid w:val="005E717A"/>
    <w:rsid w:val="005F14C8"/>
    <w:rsid w:val="005F1685"/>
    <w:rsid w:val="005F2286"/>
    <w:rsid w:val="005F4174"/>
    <w:rsid w:val="005F5BAC"/>
    <w:rsid w:val="005F793E"/>
    <w:rsid w:val="0060250D"/>
    <w:rsid w:val="00602971"/>
    <w:rsid w:val="00602C63"/>
    <w:rsid w:val="00604125"/>
    <w:rsid w:val="00604394"/>
    <w:rsid w:val="006043E6"/>
    <w:rsid w:val="00604691"/>
    <w:rsid w:val="00604BEE"/>
    <w:rsid w:val="0060541A"/>
    <w:rsid w:val="00606023"/>
    <w:rsid w:val="006061B6"/>
    <w:rsid w:val="006068DB"/>
    <w:rsid w:val="0061039F"/>
    <w:rsid w:val="00610525"/>
    <w:rsid w:val="00610EAB"/>
    <w:rsid w:val="00610FE7"/>
    <w:rsid w:val="006126A2"/>
    <w:rsid w:val="006129DA"/>
    <w:rsid w:val="00614803"/>
    <w:rsid w:val="00616923"/>
    <w:rsid w:val="00616F98"/>
    <w:rsid w:val="00617909"/>
    <w:rsid w:val="00617C79"/>
    <w:rsid w:val="006206D7"/>
    <w:rsid w:val="00622E75"/>
    <w:rsid w:val="00624C7B"/>
    <w:rsid w:val="00625A17"/>
    <w:rsid w:val="00626196"/>
    <w:rsid w:val="00626A76"/>
    <w:rsid w:val="0062793F"/>
    <w:rsid w:val="00630C7B"/>
    <w:rsid w:val="0063203E"/>
    <w:rsid w:val="0063224F"/>
    <w:rsid w:val="006335D1"/>
    <w:rsid w:val="00633CDC"/>
    <w:rsid w:val="006349A6"/>
    <w:rsid w:val="00635967"/>
    <w:rsid w:val="00637FAC"/>
    <w:rsid w:val="00642DD4"/>
    <w:rsid w:val="006440D2"/>
    <w:rsid w:val="00647933"/>
    <w:rsid w:val="00651610"/>
    <w:rsid w:val="00652E0F"/>
    <w:rsid w:val="006534CE"/>
    <w:rsid w:val="006556E3"/>
    <w:rsid w:val="006601B1"/>
    <w:rsid w:val="00660A67"/>
    <w:rsid w:val="006624BC"/>
    <w:rsid w:val="00665099"/>
    <w:rsid w:val="00665210"/>
    <w:rsid w:val="006657E8"/>
    <w:rsid w:val="006669B8"/>
    <w:rsid w:val="00667382"/>
    <w:rsid w:val="00667520"/>
    <w:rsid w:val="006708E4"/>
    <w:rsid w:val="006717A0"/>
    <w:rsid w:val="00671AB4"/>
    <w:rsid w:val="00671B03"/>
    <w:rsid w:val="00671CF2"/>
    <w:rsid w:val="00680814"/>
    <w:rsid w:val="006851FC"/>
    <w:rsid w:val="00686C57"/>
    <w:rsid w:val="00691034"/>
    <w:rsid w:val="00692267"/>
    <w:rsid w:val="00692F6B"/>
    <w:rsid w:val="00693AD7"/>
    <w:rsid w:val="0069488D"/>
    <w:rsid w:val="006949E0"/>
    <w:rsid w:val="00697876"/>
    <w:rsid w:val="00697B27"/>
    <w:rsid w:val="00697BAB"/>
    <w:rsid w:val="006A1338"/>
    <w:rsid w:val="006A5E26"/>
    <w:rsid w:val="006A6638"/>
    <w:rsid w:val="006B07B8"/>
    <w:rsid w:val="006B3A73"/>
    <w:rsid w:val="006B49F8"/>
    <w:rsid w:val="006B6944"/>
    <w:rsid w:val="006B6C65"/>
    <w:rsid w:val="006B790F"/>
    <w:rsid w:val="006C1961"/>
    <w:rsid w:val="006C21F8"/>
    <w:rsid w:val="006C30D9"/>
    <w:rsid w:val="006C459E"/>
    <w:rsid w:val="006C4FFD"/>
    <w:rsid w:val="006C5774"/>
    <w:rsid w:val="006C6184"/>
    <w:rsid w:val="006C6656"/>
    <w:rsid w:val="006C7511"/>
    <w:rsid w:val="006C7D7F"/>
    <w:rsid w:val="006D05A2"/>
    <w:rsid w:val="006D21D7"/>
    <w:rsid w:val="006D241D"/>
    <w:rsid w:val="006D31B6"/>
    <w:rsid w:val="006D3525"/>
    <w:rsid w:val="006D4FA8"/>
    <w:rsid w:val="006D718C"/>
    <w:rsid w:val="006D72A4"/>
    <w:rsid w:val="006D7A0A"/>
    <w:rsid w:val="006E14A0"/>
    <w:rsid w:val="006E2A98"/>
    <w:rsid w:val="006E41F7"/>
    <w:rsid w:val="006E4AB1"/>
    <w:rsid w:val="006E5B6C"/>
    <w:rsid w:val="006E6651"/>
    <w:rsid w:val="006E7AB8"/>
    <w:rsid w:val="006F0472"/>
    <w:rsid w:val="006F27B7"/>
    <w:rsid w:val="006F3003"/>
    <w:rsid w:val="006F30AB"/>
    <w:rsid w:val="006F30B9"/>
    <w:rsid w:val="006F3FCA"/>
    <w:rsid w:val="006F46BF"/>
    <w:rsid w:val="006F51B0"/>
    <w:rsid w:val="006F6333"/>
    <w:rsid w:val="007020FB"/>
    <w:rsid w:val="0070256C"/>
    <w:rsid w:val="007070C6"/>
    <w:rsid w:val="00707459"/>
    <w:rsid w:val="00710337"/>
    <w:rsid w:val="007122CD"/>
    <w:rsid w:val="00712A17"/>
    <w:rsid w:val="00721AC6"/>
    <w:rsid w:val="00721F92"/>
    <w:rsid w:val="0072239C"/>
    <w:rsid w:val="00722E0C"/>
    <w:rsid w:val="00726C6A"/>
    <w:rsid w:val="00734C54"/>
    <w:rsid w:val="0073588D"/>
    <w:rsid w:val="00735B64"/>
    <w:rsid w:val="00735BFD"/>
    <w:rsid w:val="00737F81"/>
    <w:rsid w:val="007402B0"/>
    <w:rsid w:val="00740BE3"/>
    <w:rsid w:val="007430BE"/>
    <w:rsid w:val="00743358"/>
    <w:rsid w:val="00745D54"/>
    <w:rsid w:val="007465E5"/>
    <w:rsid w:val="00750D23"/>
    <w:rsid w:val="00752E3D"/>
    <w:rsid w:val="0075363D"/>
    <w:rsid w:val="00753E1F"/>
    <w:rsid w:val="0075579F"/>
    <w:rsid w:val="00755EC1"/>
    <w:rsid w:val="00756DF7"/>
    <w:rsid w:val="00757FAE"/>
    <w:rsid w:val="00761671"/>
    <w:rsid w:val="00761A49"/>
    <w:rsid w:val="00761CBD"/>
    <w:rsid w:val="0076315A"/>
    <w:rsid w:val="007660A4"/>
    <w:rsid w:val="0076767F"/>
    <w:rsid w:val="00770A1D"/>
    <w:rsid w:val="0077132B"/>
    <w:rsid w:val="007717CE"/>
    <w:rsid w:val="00773288"/>
    <w:rsid w:val="007733EF"/>
    <w:rsid w:val="00773737"/>
    <w:rsid w:val="00773E58"/>
    <w:rsid w:val="00781F13"/>
    <w:rsid w:val="00782770"/>
    <w:rsid w:val="00785244"/>
    <w:rsid w:val="007861CE"/>
    <w:rsid w:val="00786FA1"/>
    <w:rsid w:val="007901BC"/>
    <w:rsid w:val="0079089E"/>
    <w:rsid w:val="007923BF"/>
    <w:rsid w:val="00794CC0"/>
    <w:rsid w:val="00795B8B"/>
    <w:rsid w:val="007960E7"/>
    <w:rsid w:val="007A5EF6"/>
    <w:rsid w:val="007A6783"/>
    <w:rsid w:val="007A7CB8"/>
    <w:rsid w:val="007B067C"/>
    <w:rsid w:val="007B0C30"/>
    <w:rsid w:val="007B11A7"/>
    <w:rsid w:val="007B4FAD"/>
    <w:rsid w:val="007B51A5"/>
    <w:rsid w:val="007B51D0"/>
    <w:rsid w:val="007B625A"/>
    <w:rsid w:val="007B7025"/>
    <w:rsid w:val="007C116E"/>
    <w:rsid w:val="007C3D23"/>
    <w:rsid w:val="007C4B05"/>
    <w:rsid w:val="007C587D"/>
    <w:rsid w:val="007C5948"/>
    <w:rsid w:val="007C72DB"/>
    <w:rsid w:val="007D0CCC"/>
    <w:rsid w:val="007D0F0A"/>
    <w:rsid w:val="007D23FC"/>
    <w:rsid w:val="007D29AA"/>
    <w:rsid w:val="007D5A3D"/>
    <w:rsid w:val="007D79C6"/>
    <w:rsid w:val="007E064E"/>
    <w:rsid w:val="007E5774"/>
    <w:rsid w:val="007E58FF"/>
    <w:rsid w:val="007E7032"/>
    <w:rsid w:val="007E7FC7"/>
    <w:rsid w:val="007F1010"/>
    <w:rsid w:val="007F1765"/>
    <w:rsid w:val="007F31B1"/>
    <w:rsid w:val="007F31D2"/>
    <w:rsid w:val="007F3986"/>
    <w:rsid w:val="007F3C12"/>
    <w:rsid w:val="007F47AC"/>
    <w:rsid w:val="007F4994"/>
    <w:rsid w:val="007F6043"/>
    <w:rsid w:val="00801141"/>
    <w:rsid w:val="00802B60"/>
    <w:rsid w:val="0080613B"/>
    <w:rsid w:val="00807656"/>
    <w:rsid w:val="0081021A"/>
    <w:rsid w:val="00812871"/>
    <w:rsid w:val="00813F3C"/>
    <w:rsid w:val="008150BD"/>
    <w:rsid w:val="00816882"/>
    <w:rsid w:val="00816AE8"/>
    <w:rsid w:val="00817D37"/>
    <w:rsid w:val="00820946"/>
    <w:rsid w:val="0082143F"/>
    <w:rsid w:val="00823A3D"/>
    <w:rsid w:val="00826A35"/>
    <w:rsid w:val="00826AEA"/>
    <w:rsid w:val="00826AFC"/>
    <w:rsid w:val="00830CC6"/>
    <w:rsid w:val="00830DAA"/>
    <w:rsid w:val="00832487"/>
    <w:rsid w:val="008355B5"/>
    <w:rsid w:val="0083583E"/>
    <w:rsid w:val="008358D1"/>
    <w:rsid w:val="00836F83"/>
    <w:rsid w:val="008417B0"/>
    <w:rsid w:val="00842811"/>
    <w:rsid w:val="00845694"/>
    <w:rsid w:val="008463B3"/>
    <w:rsid w:val="0084714D"/>
    <w:rsid w:val="00850934"/>
    <w:rsid w:val="00855751"/>
    <w:rsid w:val="00856220"/>
    <w:rsid w:val="00857AEB"/>
    <w:rsid w:val="008607D2"/>
    <w:rsid w:val="00864881"/>
    <w:rsid w:val="00864C2E"/>
    <w:rsid w:val="00867624"/>
    <w:rsid w:val="00870880"/>
    <w:rsid w:val="008708A5"/>
    <w:rsid w:val="00872CFA"/>
    <w:rsid w:val="00875660"/>
    <w:rsid w:val="00875FB2"/>
    <w:rsid w:val="008803F0"/>
    <w:rsid w:val="00882656"/>
    <w:rsid w:val="0088352D"/>
    <w:rsid w:val="0088374E"/>
    <w:rsid w:val="00884E38"/>
    <w:rsid w:val="00887BFF"/>
    <w:rsid w:val="00891F77"/>
    <w:rsid w:val="0089566B"/>
    <w:rsid w:val="008957C4"/>
    <w:rsid w:val="008961AC"/>
    <w:rsid w:val="00896404"/>
    <w:rsid w:val="00897301"/>
    <w:rsid w:val="00897C1B"/>
    <w:rsid w:val="008A2172"/>
    <w:rsid w:val="008A24C2"/>
    <w:rsid w:val="008A2602"/>
    <w:rsid w:val="008A3F58"/>
    <w:rsid w:val="008A5601"/>
    <w:rsid w:val="008A6847"/>
    <w:rsid w:val="008A6A34"/>
    <w:rsid w:val="008A6D45"/>
    <w:rsid w:val="008A758E"/>
    <w:rsid w:val="008A7E10"/>
    <w:rsid w:val="008B0144"/>
    <w:rsid w:val="008B2F24"/>
    <w:rsid w:val="008B337D"/>
    <w:rsid w:val="008B395C"/>
    <w:rsid w:val="008B5502"/>
    <w:rsid w:val="008B5F28"/>
    <w:rsid w:val="008B6211"/>
    <w:rsid w:val="008B6365"/>
    <w:rsid w:val="008B755E"/>
    <w:rsid w:val="008B75E6"/>
    <w:rsid w:val="008C08CF"/>
    <w:rsid w:val="008C4544"/>
    <w:rsid w:val="008C59ED"/>
    <w:rsid w:val="008C5A13"/>
    <w:rsid w:val="008D3B29"/>
    <w:rsid w:val="008D528E"/>
    <w:rsid w:val="008D5755"/>
    <w:rsid w:val="008D58BC"/>
    <w:rsid w:val="008D7D47"/>
    <w:rsid w:val="008E02B5"/>
    <w:rsid w:val="008E3A7D"/>
    <w:rsid w:val="008E5D4B"/>
    <w:rsid w:val="008E620B"/>
    <w:rsid w:val="008E6BA8"/>
    <w:rsid w:val="008E6E33"/>
    <w:rsid w:val="008E7ACE"/>
    <w:rsid w:val="008F0ACB"/>
    <w:rsid w:val="008F1988"/>
    <w:rsid w:val="008F30CD"/>
    <w:rsid w:val="008F61A4"/>
    <w:rsid w:val="008F62B2"/>
    <w:rsid w:val="008F6395"/>
    <w:rsid w:val="008F71A8"/>
    <w:rsid w:val="00902244"/>
    <w:rsid w:val="00902FDF"/>
    <w:rsid w:val="00904A68"/>
    <w:rsid w:val="009054AC"/>
    <w:rsid w:val="00906A4E"/>
    <w:rsid w:val="00911823"/>
    <w:rsid w:val="00912041"/>
    <w:rsid w:val="009129CA"/>
    <w:rsid w:val="00913B2E"/>
    <w:rsid w:val="00914E0A"/>
    <w:rsid w:val="00915103"/>
    <w:rsid w:val="009167AA"/>
    <w:rsid w:val="0091777D"/>
    <w:rsid w:val="00920A4B"/>
    <w:rsid w:val="00921E0A"/>
    <w:rsid w:val="00923FD7"/>
    <w:rsid w:val="009279C1"/>
    <w:rsid w:val="00930EC6"/>
    <w:rsid w:val="009317CB"/>
    <w:rsid w:val="00935049"/>
    <w:rsid w:val="00935470"/>
    <w:rsid w:val="00935738"/>
    <w:rsid w:val="009364F1"/>
    <w:rsid w:val="0093738A"/>
    <w:rsid w:val="00937FE3"/>
    <w:rsid w:val="00940396"/>
    <w:rsid w:val="00941BA4"/>
    <w:rsid w:val="00942551"/>
    <w:rsid w:val="00945488"/>
    <w:rsid w:val="0094616A"/>
    <w:rsid w:val="00946B48"/>
    <w:rsid w:val="009513B8"/>
    <w:rsid w:val="00951E86"/>
    <w:rsid w:val="00952FCC"/>
    <w:rsid w:val="009545F7"/>
    <w:rsid w:val="00955098"/>
    <w:rsid w:val="00956038"/>
    <w:rsid w:val="00957EB3"/>
    <w:rsid w:val="00960831"/>
    <w:rsid w:val="00960A00"/>
    <w:rsid w:val="00960B6A"/>
    <w:rsid w:val="00961C6B"/>
    <w:rsid w:val="00962FE9"/>
    <w:rsid w:val="00964D89"/>
    <w:rsid w:val="00964EC3"/>
    <w:rsid w:val="0096614B"/>
    <w:rsid w:val="00966E49"/>
    <w:rsid w:val="00970827"/>
    <w:rsid w:val="00972880"/>
    <w:rsid w:val="00974367"/>
    <w:rsid w:val="00974B45"/>
    <w:rsid w:val="00975B15"/>
    <w:rsid w:val="009765F3"/>
    <w:rsid w:val="00976C50"/>
    <w:rsid w:val="00981942"/>
    <w:rsid w:val="009832E6"/>
    <w:rsid w:val="00983570"/>
    <w:rsid w:val="00984E94"/>
    <w:rsid w:val="00986FC0"/>
    <w:rsid w:val="00992B07"/>
    <w:rsid w:val="00993928"/>
    <w:rsid w:val="00994B52"/>
    <w:rsid w:val="009974F6"/>
    <w:rsid w:val="009976AC"/>
    <w:rsid w:val="00997757"/>
    <w:rsid w:val="009A4E2E"/>
    <w:rsid w:val="009A5088"/>
    <w:rsid w:val="009A57C3"/>
    <w:rsid w:val="009A60AD"/>
    <w:rsid w:val="009A6D5B"/>
    <w:rsid w:val="009A7A17"/>
    <w:rsid w:val="009B09B5"/>
    <w:rsid w:val="009B133E"/>
    <w:rsid w:val="009B23E2"/>
    <w:rsid w:val="009B2692"/>
    <w:rsid w:val="009B4203"/>
    <w:rsid w:val="009B4FE3"/>
    <w:rsid w:val="009B6D22"/>
    <w:rsid w:val="009C1451"/>
    <w:rsid w:val="009C251A"/>
    <w:rsid w:val="009C27DE"/>
    <w:rsid w:val="009C6091"/>
    <w:rsid w:val="009C69A9"/>
    <w:rsid w:val="009D270D"/>
    <w:rsid w:val="009D28B2"/>
    <w:rsid w:val="009D4238"/>
    <w:rsid w:val="009D466C"/>
    <w:rsid w:val="009D7B24"/>
    <w:rsid w:val="009E18EB"/>
    <w:rsid w:val="009E335A"/>
    <w:rsid w:val="009E5FD9"/>
    <w:rsid w:val="009E60DB"/>
    <w:rsid w:val="009E6765"/>
    <w:rsid w:val="009F06BF"/>
    <w:rsid w:val="009F0914"/>
    <w:rsid w:val="009F6091"/>
    <w:rsid w:val="009F7115"/>
    <w:rsid w:val="009F72A1"/>
    <w:rsid w:val="009F74CF"/>
    <w:rsid w:val="009F7AAF"/>
    <w:rsid w:val="00A00015"/>
    <w:rsid w:val="00A020CA"/>
    <w:rsid w:val="00A02D7D"/>
    <w:rsid w:val="00A03B14"/>
    <w:rsid w:val="00A06937"/>
    <w:rsid w:val="00A0721E"/>
    <w:rsid w:val="00A10199"/>
    <w:rsid w:val="00A11EB3"/>
    <w:rsid w:val="00A12D49"/>
    <w:rsid w:val="00A141DB"/>
    <w:rsid w:val="00A15464"/>
    <w:rsid w:val="00A16C62"/>
    <w:rsid w:val="00A20651"/>
    <w:rsid w:val="00A209A1"/>
    <w:rsid w:val="00A20E8F"/>
    <w:rsid w:val="00A22CA5"/>
    <w:rsid w:val="00A236AF"/>
    <w:rsid w:val="00A2425B"/>
    <w:rsid w:val="00A246FB"/>
    <w:rsid w:val="00A25A05"/>
    <w:rsid w:val="00A26F08"/>
    <w:rsid w:val="00A325EA"/>
    <w:rsid w:val="00A326C9"/>
    <w:rsid w:val="00A32BCE"/>
    <w:rsid w:val="00A3343A"/>
    <w:rsid w:val="00A33526"/>
    <w:rsid w:val="00A34C8A"/>
    <w:rsid w:val="00A34DE8"/>
    <w:rsid w:val="00A35C2B"/>
    <w:rsid w:val="00A366C4"/>
    <w:rsid w:val="00A37682"/>
    <w:rsid w:val="00A407A9"/>
    <w:rsid w:val="00A40BC3"/>
    <w:rsid w:val="00A43731"/>
    <w:rsid w:val="00A52D39"/>
    <w:rsid w:val="00A53F0C"/>
    <w:rsid w:val="00A54AAA"/>
    <w:rsid w:val="00A55DD6"/>
    <w:rsid w:val="00A55E29"/>
    <w:rsid w:val="00A61E45"/>
    <w:rsid w:val="00A6498E"/>
    <w:rsid w:val="00A64A30"/>
    <w:rsid w:val="00A65169"/>
    <w:rsid w:val="00A6583A"/>
    <w:rsid w:val="00A65F38"/>
    <w:rsid w:val="00A7049B"/>
    <w:rsid w:val="00A716BE"/>
    <w:rsid w:val="00A7193C"/>
    <w:rsid w:val="00A71BCA"/>
    <w:rsid w:val="00A724B5"/>
    <w:rsid w:val="00A731B9"/>
    <w:rsid w:val="00A769C0"/>
    <w:rsid w:val="00A801ED"/>
    <w:rsid w:val="00A8053F"/>
    <w:rsid w:val="00A82630"/>
    <w:rsid w:val="00A830CB"/>
    <w:rsid w:val="00A85BCB"/>
    <w:rsid w:val="00A860A1"/>
    <w:rsid w:val="00A86180"/>
    <w:rsid w:val="00A90526"/>
    <w:rsid w:val="00A91308"/>
    <w:rsid w:val="00A92B36"/>
    <w:rsid w:val="00A931D9"/>
    <w:rsid w:val="00A9507E"/>
    <w:rsid w:val="00A95D73"/>
    <w:rsid w:val="00A96E7B"/>
    <w:rsid w:val="00A9716D"/>
    <w:rsid w:val="00AA4542"/>
    <w:rsid w:val="00AA59BC"/>
    <w:rsid w:val="00AA69D4"/>
    <w:rsid w:val="00AA73FF"/>
    <w:rsid w:val="00AB034E"/>
    <w:rsid w:val="00AB059C"/>
    <w:rsid w:val="00AB1611"/>
    <w:rsid w:val="00AB3AAF"/>
    <w:rsid w:val="00AB4656"/>
    <w:rsid w:val="00AB4B4E"/>
    <w:rsid w:val="00AB6625"/>
    <w:rsid w:val="00AC0231"/>
    <w:rsid w:val="00AC0715"/>
    <w:rsid w:val="00AC158D"/>
    <w:rsid w:val="00AC3974"/>
    <w:rsid w:val="00AC3B5A"/>
    <w:rsid w:val="00AC51CF"/>
    <w:rsid w:val="00AC7302"/>
    <w:rsid w:val="00AC74E9"/>
    <w:rsid w:val="00AD0683"/>
    <w:rsid w:val="00AD1C70"/>
    <w:rsid w:val="00AD25F2"/>
    <w:rsid w:val="00AD4038"/>
    <w:rsid w:val="00AD412E"/>
    <w:rsid w:val="00AD4CED"/>
    <w:rsid w:val="00AD7229"/>
    <w:rsid w:val="00AD7AA7"/>
    <w:rsid w:val="00AE4112"/>
    <w:rsid w:val="00AE487F"/>
    <w:rsid w:val="00AE4BD3"/>
    <w:rsid w:val="00AE4D47"/>
    <w:rsid w:val="00AE4FDF"/>
    <w:rsid w:val="00AE518D"/>
    <w:rsid w:val="00AE5EB1"/>
    <w:rsid w:val="00AE660B"/>
    <w:rsid w:val="00AF1A3E"/>
    <w:rsid w:val="00AF3F3B"/>
    <w:rsid w:val="00AF48E7"/>
    <w:rsid w:val="00AF4B18"/>
    <w:rsid w:val="00AF509C"/>
    <w:rsid w:val="00AF50DB"/>
    <w:rsid w:val="00AF633B"/>
    <w:rsid w:val="00AF75E4"/>
    <w:rsid w:val="00B01878"/>
    <w:rsid w:val="00B033A6"/>
    <w:rsid w:val="00B04A88"/>
    <w:rsid w:val="00B05ED9"/>
    <w:rsid w:val="00B070B9"/>
    <w:rsid w:val="00B127F8"/>
    <w:rsid w:val="00B133D8"/>
    <w:rsid w:val="00B135B4"/>
    <w:rsid w:val="00B14057"/>
    <w:rsid w:val="00B14A09"/>
    <w:rsid w:val="00B2228E"/>
    <w:rsid w:val="00B248F3"/>
    <w:rsid w:val="00B256C9"/>
    <w:rsid w:val="00B26212"/>
    <w:rsid w:val="00B26213"/>
    <w:rsid w:val="00B3463B"/>
    <w:rsid w:val="00B349FE"/>
    <w:rsid w:val="00B37E32"/>
    <w:rsid w:val="00B40434"/>
    <w:rsid w:val="00B40916"/>
    <w:rsid w:val="00B41F37"/>
    <w:rsid w:val="00B427EC"/>
    <w:rsid w:val="00B46033"/>
    <w:rsid w:val="00B461CA"/>
    <w:rsid w:val="00B47947"/>
    <w:rsid w:val="00B47C17"/>
    <w:rsid w:val="00B51D58"/>
    <w:rsid w:val="00B51E12"/>
    <w:rsid w:val="00B53F1E"/>
    <w:rsid w:val="00B555E5"/>
    <w:rsid w:val="00B60299"/>
    <w:rsid w:val="00B6044C"/>
    <w:rsid w:val="00B6107A"/>
    <w:rsid w:val="00B65A50"/>
    <w:rsid w:val="00B65FE3"/>
    <w:rsid w:val="00B665C0"/>
    <w:rsid w:val="00B67021"/>
    <w:rsid w:val="00B67BCE"/>
    <w:rsid w:val="00B70601"/>
    <w:rsid w:val="00B71047"/>
    <w:rsid w:val="00B73621"/>
    <w:rsid w:val="00B73C49"/>
    <w:rsid w:val="00B746E6"/>
    <w:rsid w:val="00B76221"/>
    <w:rsid w:val="00B804EF"/>
    <w:rsid w:val="00B80D4A"/>
    <w:rsid w:val="00B810E3"/>
    <w:rsid w:val="00B8422F"/>
    <w:rsid w:val="00B853E1"/>
    <w:rsid w:val="00B859E6"/>
    <w:rsid w:val="00B87737"/>
    <w:rsid w:val="00B92874"/>
    <w:rsid w:val="00B92F0B"/>
    <w:rsid w:val="00B93457"/>
    <w:rsid w:val="00BA0D25"/>
    <w:rsid w:val="00BA0EE2"/>
    <w:rsid w:val="00BA26FB"/>
    <w:rsid w:val="00BA34A2"/>
    <w:rsid w:val="00BA3D47"/>
    <w:rsid w:val="00BA4335"/>
    <w:rsid w:val="00BA5E88"/>
    <w:rsid w:val="00BA74EC"/>
    <w:rsid w:val="00BA7B02"/>
    <w:rsid w:val="00BB1D02"/>
    <w:rsid w:val="00BB34DC"/>
    <w:rsid w:val="00BB6015"/>
    <w:rsid w:val="00BB7770"/>
    <w:rsid w:val="00BC30C8"/>
    <w:rsid w:val="00BC5C03"/>
    <w:rsid w:val="00BD121D"/>
    <w:rsid w:val="00BD12DC"/>
    <w:rsid w:val="00BD4222"/>
    <w:rsid w:val="00BD78FE"/>
    <w:rsid w:val="00BE12C5"/>
    <w:rsid w:val="00BE1333"/>
    <w:rsid w:val="00BE2B30"/>
    <w:rsid w:val="00BE6C78"/>
    <w:rsid w:val="00BF0D15"/>
    <w:rsid w:val="00BF1D88"/>
    <w:rsid w:val="00BF3153"/>
    <w:rsid w:val="00BF4AD8"/>
    <w:rsid w:val="00BF55FD"/>
    <w:rsid w:val="00BF6FDF"/>
    <w:rsid w:val="00C00AD5"/>
    <w:rsid w:val="00C026B6"/>
    <w:rsid w:val="00C03F9E"/>
    <w:rsid w:val="00C04381"/>
    <w:rsid w:val="00C06D23"/>
    <w:rsid w:val="00C075BE"/>
    <w:rsid w:val="00C11285"/>
    <w:rsid w:val="00C120D6"/>
    <w:rsid w:val="00C1218B"/>
    <w:rsid w:val="00C13775"/>
    <w:rsid w:val="00C155CF"/>
    <w:rsid w:val="00C15BEA"/>
    <w:rsid w:val="00C16599"/>
    <w:rsid w:val="00C17E4B"/>
    <w:rsid w:val="00C22ED5"/>
    <w:rsid w:val="00C2334B"/>
    <w:rsid w:val="00C25202"/>
    <w:rsid w:val="00C26A8A"/>
    <w:rsid w:val="00C301AB"/>
    <w:rsid w:val="00C30EC8"/>
    <w:rsid w:val="00C341D0"/>
    <w:rsid w:val="00C34905"/>
    <w:rsid w:val="00C34C2A"/>
    <w:rsid w:val="00C34F1C"/>
    <w:rsid w:val="00C40255"/>
    <w:rsid w:val="00C416A0"/>
    <w:rsid w:val="00C43E95"/>
    <w:rsid w:val="00C46AD3"/>
    <w:rsid w:val="00C50C0A"/>
    <w:rsid w:val="00C50F2A"/>
    <w:rsid w:val="00C5794B"/>
    <w:rsid w:val="00C60480"/>
    <w:rsid w:val="00C61603"/>
    <w:rsid w:val="00C62F52"/>
    <w:rsid w:val="00C632BD"/>
    <w:rsid w:val="00C64D7D"/>
    <w:rsid w:val="00C669D3"/>
    <w:rsid w:val="00C6730A"/>
    <w:rsid w:val="00C708E4"/>
    <w:rsid w:val="00C7192C"/>
    <w:rsid w:val="00C721BA"/>
    <w:rsid w:val="00C73B81"/>
    <w:rsid w:val="00C73F65"/>
    <w:rsid w:val="00C76961"/>
    <w:rsid w:val="00C81E65"/>
    <w:rsid w:val="00C838FC"/>
    <w:rsid w:val="00C8448A"/>
    <w:rsid w:val="00C84828"/>
    <w:rsid w:val="00C84E79"/>
    <w:rsid w:val="00C85A51"/>
    <w:rsid w:val="00C905F1"/>
    <w:rsid w:val="00C909F5"/>
    <w:rsid w:val="00C90C0A"/>
    <w:rsid w:val="00C90DCF"/>
    <w:rsid w:val="00C92767"/>
    <w:rsid w:val="00C92A86"/>
    <w:rsid w:val="00C937D7"/>
    <w:rsid w:val="00C95388"/>
    <w:rsid w:val="00C9695F"/>
    <w:rsid w:val="00C97E37"/>
    <w:rsid w:val="00C97EE8"/>
    <w:rsid w:val="00CA0339"/>
    <w:rsid w:val="00CA154C"/>
    <w:rsid w:val="00CA24BB"/>
    <w:rsid w:val="00CA2842"/>
    <w:rsid w:val="00CA32DA"/>
    <w:rsid w:val="00CA374B"/>
    <w:rsid w:val="00CA3865"/>
    <w:rsid w:val="00CA4017"/>
    <w:rsid w:val="00CA6A8F"/>
    <w:rsid w:val="00CA6D21"/>
    <w:rsid w:val="00CB3654"/>
    <w:rsid w:val="00CB3BC5"/>
    <w:rsid w:val="00CB4508"/>
    <w:rsid w:val="00CB5905"/>
    <w:rsid w:val="00CB5B08"/>
    <w:rsid w:val="00CC1A1E"/>
    <w:rsid w:val="00CC268F"/>
    <w:rsid w:val="00CC7EE9"/>
    <w:rsid w:val="00CD11B1"/>
    <w:rsid w:val="00CD1DA1"/>
    <w:rsid w:val="00CD1ECF"/>
    <w:rsid w:val="00CD22A4"/>
    <w:rsid w:val="00CD282A"/>
    <w:rsid w:val="00CD346E"/>
    <w:rsid w:val="00CD3918"/>
    <w:rsid w:val="00CE0524"/>
    <w:rsid w:val="00CE27BB"/>
    <w:rsid w:val="00CE2CC2"/>
    <w:rsid w:val="00CE2D8F"/>
    <w:rsid w:val="00CE60EB"/>
    <w:rsid w:val="00CE64A7"/>
    <w:rsid w:val="00CE7C69"/>
    <w:rsid w:val="00CF0BDC"/>
    <w:rsid w:val="00CF470D"/>
    <w:rsid w:val="00CF630A"/>
    <w:rsid w:val="00CF7635"/>
    <w:rsid w:val="00D003E2"/>
    <w:rsid w:val="00D00B15"/>
    <w:rsid w:val="00D046E6"/>
    <w:rsid w:val="00D04BD4"/>
    <w:rsid w:val="00D04F45"/>
    <w:rsid w:val="00D06899"/>
    <w:rsid w:val="00D1191A"/>
    <w:rsid w:val="00D12791"/>
    <w:rsid w:val="00D133C1"/>
    <w:rsid w:val="00D15A4B"/>
    <w:rsid w:val="00D20331"/>
    <w:rsid w:val="00D25CB4"/>
    <w:rsid w:val="00D26431"/>
    <w:rsid w:val="00D30190"/>
    <w:rsid w:val="00D30A32"/>
    <w:rsid w:val="00D318AA"/>
    <w:rsid w:val="00D3199E"/>
    <w:rsid w:val="00D330C5"/>
    <w:rsid w:val="00D3427B"/>
    <w:rsid w:val="00D3468A"/>
    <w:rsid w:val="00D34D3F"/>
    <w:rsid w:val="00D3586B"/>
    <w:rsid w:val="00D411B1"/>
    <w:rsid w:val="00D416D5"/>
    <w:rsid w:val="00D450D6"/>
    <w:rsid w:val="00D4519D"/>
    <w:rsid w:val="00D45AFC"/>
    <w:rsid w:val="00D46F7E"/>
    <w:rsid w:val="00D50241"/>
    <w:rsid w:val="00D57BDC"/>
    <w:rsid w:val="00D60334"/>
    <w:rsid w:val="00D6134A"/>
    <w:rsid w:val="00D62626"/>
    <w:rsid w:val="00D635B4"/>
    <w:rsid w:val="00D635DE"/>
    <w:rsid w:val="00D6394D"/>
    <w:rsid w:val="00D6571F"/>
    <w:rsid w:val="00D71306"/>
    <w:rsid w:val="00D718FB"/>
    <w:rsid w:val="00D74A5D"/>
    <w:rsid w:val="00D7559C"/>
    <w:rsid w:val="00D75812"/>
    <w:rsid w:val="00D76304"/>
    <w:rsid w:val="00D844C3"/>
    <w:rsid w:val="00D84DC4"/>
    <w:rsid w:val="00D84E95"/>
    <w:rsid w:val="00D92F3E"/>
    <w:rsid w:val="00D9467B"/>
    <w:rsid w:val="00D975C3"/>
    <w:rsid w:val="00DA06D9"/>
    <w:rsid w:val="00DA07BC"/>
    <w:rsid w:val="00DA164D"/>
    <w:rsid w:val="00DA47BA"/>
    <w:rsid w:val="00DA61B7"/>
    <w:rsid w:val="00DA63E0"/>
    <w:rsid w:val="00DA71A7"/>
    <w:rsid w:val="00DB08DD"/>
    <w:rsid w:val="00DB12A6"/>
    <w:rsid w:val="00DB41BF"/>
    <w:rsid w:val="00DB7389"/>
    <w:rsid w:val="00DB775F"/>
    <w:rsid w:val="00DC2724"/>
    <w:rsid w:val="00DC3371"/>
    <w:rsid w:val="00DC393C"/>
    <w:rsid w:val="00DC4F1D"/>
    <w:rsid w:val="00DC751B"/>
    <w:rsid w:val="00DD0E32"/>
    <w:rsid w:val="00DD2713"/>
    <w:rsid w:val="00DD4176"/>
    <w:rsid w:val="00DE1F52"/>
    <w:rsid w:val="00DE220A"/>
    <w:rsid w:val="00DE2C2E"/>
    <w:rsid w:val="00DE2CAC"/>
    <w:rsid w:val="00DE4B85"/>
    <w:rsid w:val="00DE5BDF"/>
    <w:rsid w:val="00DE5CF2"/>
    <w:rsid w:val="00DE5FDB"/>
    <w:rsid w:val="00DE60EB"/>
    <w:rsid w:val="00DE6ABF"/>
    <w:rsid w:val="00DE6DD7"/>
    <w:rsid w:val="00DE73B5"/>
    <w:rsid w:val="00DF05DC"/>
    <w:rsid w:val="00DF0BBF"/>
    <w:rsid w:val="00DF125D"/>
    <w:rsid w:val="00DF380C"/>
    <w:rsid w:val="00DF642E"/>
    <w:rsid w:val="00E0221D"/>
    <w:rsid w:val="00E03CB6"/>
    <w:rsid w:val="00E04036"/>
    <w:rsid w:val="00E06C9C"/>
    <w:rsid w:val="00E07978"/>
    <w:rsid w:val="00E13160"/>
    <w:rsid w:val="00E13DD0"/>
    <w:rsid w:val="00E13EDA"/>
    <w:rsid w:val="00E1501C"/>
    <w:rsid w:val="00E154C0"/>
    <w:rsid w:val="00E179C7"/>
    <w:rsid w:val="00E17B6D"/>
    <w:rsid w:val="00E210DB"/>
    <w:rsid w:val="00E21190"/>
    <w:rsid w:val="00E21C02"/>
    <w:rsid w:val="00E24AA3"/>
    <w:rsid w:val="00E2626E"/>
    <w:rsid w:val="00E27838"/>
    <w:rsid w:val="00E27BEB"/>
    <w:rsid w:val="00E30916"/>
    <w:rsid w:val="00E31778"/>
    <w:rsid w:val="00E3431B"/>
    <w:rsid w:val="00E34EEC"/>
    <w:rsid w:val="00E36AEA"/>
    <w:rsid w:val="00E36EC3"/>
    <w:rsid w:val="00E37D07"/>
    <w:rsid w:val="00E403C1"/>
    <w:rsid w:val="00E40C7A"/>
    <w:rsid w:val="00E423DE"/>
    <w:rsid w:val="00E426AE"/>
    <w:rsid w:val="00E44033"/>
    <w:rsid w:val="00E46954"/>
    <w:rsid w:val="00E46DC7"/>
    <w:rsid w:val="00E520C2"/>
    <w:rsid w:val="00E53D23"/>
    <w:rsid w:val="00E53F74"/>
    <w:rsid w:val="00E54663"/>
    <w:rsid w:val="00E571D6"/>
    <w:rsid w:val="00E57773"/>
    <w:rsid w:val="00E6263D"/>
    <w:rsid w:val="00E63B0E"/>
    <w:rsid w:val="00E63CD3"/>
    <w:rsid w:val="00E659F0"/>
    <w:rsid w:val="00E672CB"/>
    <w:rsid w:val="00E67C96"/>
    <w:rsid w:val="00E71842"/>
    <w:rsid w:val="00E71E99"/>
    <w:rsid w:val="00E73406"/>
    <w:rsid w:val="00E77886"/>
    <w:rsid w:val="00E80629"/>
    <w:rsid w:val="00E813FA"/>
    <w:rsid w:val="00E816A1"/>
    <w:rsid w:val="00E81E26"/>
    <w:rsid w:val="00E82F2D"/>
    <w:rsid w:val="00E8413D"/>
    <w:rsid w:val="00E841D3"/>
    <w:rsid w:val="00E84D45"/>
    <w:rsid w:val="00E8626E"/>
    <w:rsid w:val="00E87006"/>
    <w:rsid w:val="00E87DAF"/>
    <w:rsid w:val="00E9045B"/>
    <w:rsid w:val="00E944D0"/>
    <w:rsid w:val="00E946A9"/>
    <w:rsid w:val="00E94AFD"/>
    <w:rsid w:val="00E95450"/>
    <w:rsid w:val="00E9560C"/>
    <w:rsid w:val="00E97134"/>
    <w:rsid w:val="00E97AB3"/>
    <w:rsid w:val="00EA12A4"/>
    <w:rsid w:val="00EA1B70"/>
    <w:rsid w:val="00EA499C"/>
    <w:rsid w:val="00EA4C09"/>
    <w:rsid w:val="00EA6958"/>
    <w:rsid w:val="00EB01F7"/>
    <w:rsid w:val="00EB293C"/>
    <w:rsid w:val="00EB459C"/>
    <w:rsid w:val="00EB57DC"/>
    <w:rsid w:val="00EC1596"/>
    <w:rsid w:val="00EC1B82"/>
    <w:rsid w:val="00EC3B4C"/>
    <w:rsid w:val="00EC5915"/>
    <w:rsid w:val="00EC665D"/>
    <w:rsid w:val="00EC6734"/>
    <w:rsid w:val="00EC6A8A"/>
    <w:rsid w:val="00EC7846"/>
    <w:rsid w:val="00EC7C3B"/>
    <w:rsid w:val="00EC7E56"/>
    <w:rsid w:val="00ED0356"/>
    <w:rsid w:val="00ED20E5"/>
    <w:rsid w:val="00ED33CA"/>
    <w:rsid w:val="00ED348E"/>
    <w:rsid w:val="00EE0332"/>
    <w:rsid w:val="00EE401F"/>
    <w:rsid w:val="00EE48A0"/>
    <w:rsid w:val="00EE5D29"/>
    <w:rsid w:val="00EE5E1D"/>
    <w:rsid w:val="00EE75C6"/>
    <w:rsid w:val="00EF0D64"/>
    <w:rsid w:val="00EF17D4"/>
    <w:rsid w:val="00EF21C4"/>
    <w:rsid w:val="00EF3B69"/>
    <w:rsid w:val="00EF4635"/>
    <w:rsid w:val="00EF4815"/>
    <w:rsid w:val="00EF4F59"/>
    <w:rsid w:val="00EF577A"/>
    <w:rsid w:val="00EF58FD"/>
    <w:rsid w:val="00EF6239"/>
    <w:rsid w:val="00F009DD"/>
    <w:rsid w:val="00F03628"/>
    <w:rsid w:val="00F10E90"/>
    <w:rsid w:val="00F149FF"/>
    <w:rsid w:val="00F153B0"/>
    <w:rsid w:val="00F15E48"/>
    <w:rsid w:val="00F1709D"/>
    <w:rsid w:val="00F24EE6"/>
    <w:rsid w:val="00F251D3"/>
    <w:rsid w:val="00F25AED"/>
    <w:rsid w:val="00F27010"/>
    <w:rsid w:val="00F2786F"/>
    <w:rsid w:val="00F303EF"/>
    <w:rsid w:val="00F30B7D"/>
    <w:rsid w:val="00F341DB"/>
    <w:rsid w:val="00F354AB"/>
    <w:rsid w:val="00F358F8"/>
    <w:rsid w:val="00F363A1"/>
    <w:rsid w:val="00F37D5D"/>
    <w:rsid w:val="00F41197"/>
    <w:rsid w:val="00F42355"/>
    <w:rsid w:val="00F43665"/>
    <w:rsid w:val="00F521F2"/>
    <w:rsid w:val="00F52680"/>
    <w:rsid w:val="00F53B79"/>
    <w:rsid w:val="00F554B4"/>
    <w:rsid w:val="00F557F7"/>
    <w:rsid w:val="00F561C3"/>
    <w:rsid w:val="00F5792C"/>
    <w:rsid w:val="00F60941"/>
    <w:rsid w:val="00F612F6"/>
    <w:rsid w:val="00F6148A"/>
    <w:rsid w:val="00F63BE3"/>
    <w:rsid w:val="00F64292"/>
    <w:rsid w:val="00F6589E"/>
    <w:rsid w:val="00F658C0"/>
    <w:rsid w:val="00F66E50"/>
    <w:rsid w:val="00F7520C"/>
    <w:rsid w:val="00F754C6"/>
    <w:rsid w:val="00F7573A"/>
    <w:rsid w:val="00F767BF"/>
    <w:rsid w:val="00F77D2E"/>
    <w:rsid w:val="00F77E62"/>
    <w:rsid w:val="00F812B8"/>
    <w:rsid w:val="00F81775"/>
    <w:rsid w:val="00F82C04"/>
    <w:rsid w:val="00F85224"/>
    <w:rsid w:val="00F86CC2"/>
    <w:rsid w:val="00F878D7"/>
    <w:rsid w:val="00F87B2B"/>
    <w:rsid w:val="00F91CFC"/>
    <w:rsid w:val="00F946B0"/>
    <w:rsid w:val="00F94BC2"/>
    <w:rsid w:val="00FA601F"/>
    <w:rsid w:val="00FA6689"/>
    <w:rsid w:val="00FA68FE"/>
    <w:rsid w:val="00FA777B"/>
    <w:rsid w:val="00FB0EB6"/>
    <w:rsid w:val="00FB3400"/>
    <w:rsid w:val="00FB4FB4"/>
    <w:rsid w:val="00FB55FF"/>
    <w:rsid w:val="00FB5ADE"/>
    <w:rsid w:val="00FB5DF7"/>
    <w:rsid w:val="00FC011B"/>
    <w:rsid w:val="00FC1078"/>
    <w:rsid w:val="00FC34F5"/>
    <w:rsid w:val="00FC4130"/>
    <w:rsid w:val="00FC65A2"/>
    <w:rsid w:val="00FD0C8F"/>
    <w:rsid w:val="00FD3152"/>
    <w:rsid w:val="00FD7EC3"/>
    <w:rsid w:val="00FE16DA"/>
    <w:rsid w:val="00FE4847"/>
    <w:rsid w:val="00FE5F36"/>
    <w:rsid w:val="00FE620A"/>
    <w:rsid w:val="00FF089C"/>
    <w:rsid w:val="00FF24EE"/>
    <w:rsid w:val="00FF2BC4"/>
    <w:rsid w:val="00FF57D3"/>
    <w:rsid w:val="00FF6902"/>
    <w:rsid w:val="00FF7464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8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4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E4B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B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ooter">
    <w:name w:val="footer"/>
    <w:basedOn w:val="Normal"/>
    <w:link w:val="FooterChar"/>
    <w:uiPriority w:val="99"/>
    <w:rsid w:val="00DE4B8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4B8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link">
    <w:name w:val="Hyperlink"/>
    <w:basedOn w:val="DefaultParagraphFont"/>
    <w:uiPriority w:val="99"/>
    <w:unhideWhenUsed/>
    <w:rsid w:val="00DE4B8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86C70"/>
    <w:pPr>
      <w:ind w:left="720"/>
      <w:contextualSpacing/>
    </w:pPr>
  </w:style>
  <w:style w:type="character" w:customStyle="1" w:styleId="apple-converted-space">
    <w:name w:val="apple-converted-space"/>
    <w:rsid w:val="00EB57DC"/>
  </w:style>
  <w:style w:type="character" w:customStyle="1" w:styleId="hps">
    <w:name w:val="hps"/>
    <w:basedOn w:val="DefaultParagraphFont"/>
    <w:rsid w:val="00EB57DC"/>
  </w:style>
  <w:style w:type="table" w:customStyle="1" w:styleId="Mriekatabuky2">
    <w:name w:val="Mriežka tabuľky2"/>
    <w:uiPriority w:val="99"/>
    <w:rsid w:val="00EB57D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43463B"/>
    <w:pPr>
      <w:ind w:left="720"/>
    </w:pPr>
    <w:rPr>
      <w:rFonts w:eastAsia="Calibri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A4ECA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8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4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E4B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B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ooter">
    <w:name w:val="footer"/>
    <w:basedOn w:val="Normal"/>
    <w:link w:val="FooterChar"/>
    <w:uiPriority w:val="99"/>
    <w:rsid w:val="00DE4B8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4B8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link">
    <w:name w:val="Hyperlink"/>
    <w:basedOn w:val="DefaultParagraphFont"/>
    <w:uiPriority w:val="99"/>
    <w:unhideWhenUsed/>
    <w:rsid w:val="00DE4B8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86C70"/>
    <w:pPr>
      <w:ind w:left="720"/>
      <w:contextualSpacing/>
    </w:pPr>
  </w:style>
  <w:style w:type="character" w:customStyle="1" w:styleId="apple-converted-space">
    <w:name w:val="apple-converted-space"/>
    <w:rsid w:val="00EB57DC"/>
  </w:style>
  <w:style w:type="character" w:customStyle="1" w:styleId="hps">
    <w:name w:val="hps"/>
    <w:basedOn w:val="DefaultParagraphFont"/>
    <w:rsid w:val="00EB57DC"/>
  </w:style>
  <w:style w:type="table" w:customStyle="1" w:styleId="Mriekatabuky2">
    <w:name w:val="Mriežka tabuľky2"/>
    <w:uiPriority w:val="99"/>
    <w:rsid w:val="00EB57D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43463B"/>
    <w:pPr>
      <w:ind w:left="720"/>
    </w:pPr>
    <w:rPr>
      <w:rFonts w:eastAsia="Calibri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A4ECA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n.org/law/ilc/" TargetMode="External"/><Relationship Id="rId18" Type="http://schemas.openxmlformats.org/officeDocument/2006/relationships/hyperlink" Target="http://www.pca-cpa.org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alis.uniba.sk:8000/cgi-bin/gw_2012_2_2/chameleon?sessionid=2014032509263515355&amp;skin=katalog&amp;lng=sk&amp;inst=consortium&amp;host=localhost%2b1111%2bDEFAULT&amp;patronhost=localhost%201111%20DEFAULT&amp;search=SCAN&amp;function=INITREQ&amp;sourcescreen=INITREQ&amp;pos=1&amp;rootsearch=3&amp;elementcount=1&amp;u1=2009&amp;t1=Europa%20Law%20Publishing&amp;beginsrch=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ca-cpa.org" TargetMode="External"/><Relationship Id="rId17" Type="http://schemas.openxmlformats.org/officeDocument/2006/relationships/hyperlink" Target="http://www.icj-cij.org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treaties.un.org" TargetMode="External"/><Relationship Id="rId20" Type="http://schemas.openxmlformats.org/officeDocument/2006/relationships/hyperlink" Target="http://bookshop.blackwell.co.uk/jsp/search_results.jsp?publisher=Cambridge+University+Pres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j-cij.org" TargetMode="External"/><Relationship Id="rId24" Type="http://schemas.openxmlformats.org/officeDocument/2006/relationships/hyperlink" Target="http://alis.uniba.sk:8000/cgi-bin/gw_2012_2_2/chameleon?sessionid=2014032509263515355&amp;skin=katalog&amp;lng=sk&amp;inst=consortium&amp;host=localhost%2b1111%2bDEFAULT&amp;patronhost=localhost%201111%20DEFAULT&amp;search=SCAN&amp;function=INITREQ&amp;sourcescreen=COPVOLSCR&amp;pos=1&amp;rootsearch=3&amp;elementcount=1&amp;u1=2009&amp;t1=Cambridge%20University%20Press&amp;beginsrch=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n.org" TargetMode="External"/><Relationship Id="rId23" Type="http://schemas.openxmlformats.org/officeDocument/2006/relationships/hyperlink" Target="http://alis.uniba.sk:8000/cgi-bin/gw_2012_2_2/chameleon?sessionid=2014032509263515355&amp;skin=katalog&amp;lng=sk&amp;inst=consortium&amp;host=localhost%2b1111%2bDEFAULT&amp;patronhost=localhost%201111%20DEFAULT&amp;search=SCAN&amp;function=INITREQ&amp;sourcescreen=INITREQ&amp;pos=1&amp;rootsearch=3&amp;elementcount=1&amp;u1=2009&amp;t1=Europa%20Law%20Publishing&amp;beginsrch=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treaties.un.org" TargetMode="External"/><Relationship Id="rId19" Type="http://schemas.openxmlformats.org/officeDocument/2006/relationships/hyperlink" Target="http://www.un.org/law/ilc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n.org" TargetMode="External"/><Relationship Id="rId14" Type="http://schemas.openxmlformats.org/officeDocument/2006/relationships/hyperlink" Target="http://bookshop.blackwell.co.uk/jsp/search_results.jsp?publisher=Cambridge+University+Press" TargetMode="External"/><Relationship Id="rId22" Type="http://schemas.openxmlformats.org/officeDocument/2006/relationships/hyperlink" Target="http://alis.uniba.sk:8000/cgi-bin/gw_2012_2_2/chameleon?sessionid=2014032509263515355&amp;skin=katalog&amp;lng=sk&amp;inst=consortium&amp;host=localhost%2b1111%2bDEFAULT&amp;patronhost=localhost%201111%20DEFAULT&amp;search=SCAN&amp;function=INITREQ&amp;sourcescreen=COPVOLSCR&amp;pos=1&amp;rootsearch=3&amp;elementcount=1&amp;u1=4&amp;t1=Michael%20Bogdan%20%26%20Ulf%20Maunsbach&amp;beginsrch=1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BE0F2-DF7B-4160-932B-9C88BCFF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8464</Words>
  <Characters>48248</Characters>
  <Application>Microsoft Office Word</Application>
  <DocSecurity>0</DocSecurity>
  <Lines>402</Lines>
  <Paragraphs>113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56599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 Jurkovicova</cp:lastModifiedBy>
  <cp:revision>83</cp:revision>
  <cp:lastPrinted>2016-02-17T19:10:00Z</cp:lastPrinted>
  <dcterms:created xsi:type="dcterms:W3CDTF">2016-02-10T21:05:00Z</dcterms:created>
  <dcterms:modified xsi:type="dcterms:W3CDTF">2016-02-17T19:12:00Z</dcterms:modified>
</cp:coreProperties>
</file>